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23.png" ContentType="image/png"/>
  <Override PartName="/word/media/image22.png" ContentType="image/png"/>
  <Override PartName="/word/media/image4.png" ContentType="image/png"/>
  <Override PartName="/word/media/image27.png" ContentType="image/png"/>
  <Override PartName="/word/media/image28.png" ContentType="image/png"/>
  <Override PartName="/word/media/image5.png" ContentType="image/png"/>
  <Override PartName="/word/media/image30.png" ContentType="image/png"/>
  <Override PartName="/word/media/image10.png" ContentType="image/png"/>
  <Override PartName="/word/media/image29.png" ContentType="image/png"/>
  <Override PartName="/word/media/image6.png" ContentType="image/png"/>
  <Override PartName="/word/media/image11.png" ContentType="image/png"/>
  <Override PartName="/word/media/image7.png" ContentType="image/png"/>
  <Override PartName="/word/media/image12.png" ContentType="image/png"/>
  <Override PartName="/word/media/image8.png" ContentType="image/png"/>
  <Override PartName="/word/media/image13.png" ContentType="image/png"/>
  <Override PartName="/word/media/image9.png" ContentType="image/png"/>
  <Override PartName="/word/media/image3.png" ContentType="image/png"/>
  <Override PartName="/word/media/image26.png" ContentType="image/png"/>
  <Override PartName="/word/media/image2.png" ContentType="image/png"/>
  <Override PartName="/word/media/image25.png" ContentType="image/png"/>
  <Override PartName="/word/media/image31.png" ContentType="image/png"/>
  <Override PartName="/word/media/image1.png" ContentType="image/png"/>
  <Override PartName="/word/media/image24.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20.png" ContentType="image/png"/>
  <Override PartName="/word/media/image19.png" ContentType="image/png"/>
  <Override PartName="/word/media/image21.png" ContentType="image/png"/>
  <Override PartName="/word/styles.xml" ContentType="application/vnd.openxmlformats-officedocument.wordprocessingml.styles+xml"/>
  <Override PartName="/word/theme/theme1.xml" ContentType="application/vnd.openxmlformats-officedocument.theme+xml"/>
  <Override PartName="/word/comments.xml" ContentType="application/vnd.openxmlformats-officedocument.wordprocessingml.comments+xml"/>
  <Override PartName="/word/fontTable.xml" ContentType="application/vnd.openxmlformats-officedocument.wordprocessingml.fontTable+xml"/>
  <Override PartName="/word/commentsExtended.xml" ContentType="application/vnd.openxmlformats-officedocument.wordprocessingml.commentsExtended+xml"/>
  <Override PartName="/word/numbering.xml" ContentType="application/vnd.openxmlformats-officedocument.wordprocessingml.numbering+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Title"/>
        <w:keepNext w:val="true"/>
        <w:keepLines/>
        <w:spacing w:before="480" w:after="240"/>
        <w:jc w:val="center"/>
        <w:rPr/>
      </w:pPr>
      <w:r>
        <w:rPr/>
        <w:t xml:space="preserve">Metagenomic </w:t>
      </w:r>
      <w:del w:id="0" w:author="Unknown Author" w:date="2023-03-24T17:22:07Z">
        <w:r>
          <w:rPr/>
          <w:commentReference w:id="0"/>
        </w:r>
      </w:del>
      <w:r>
        <w:rPr/>
        <w:t>Barcoding of Pollen Loads Offers Insights on the Foraging Patterns of Queen Bumble Bees</w:t>
      </w:r>
      <w:del w:id="1" w:author="Unknown Author" w:date="2023-03-01T20:01:27Z">
        <w:r>
          <w:rPr/>
          <w:commentReference w:id="1"/>
        </w:r>
      </w:del>
    </w:p>
    <w:p>
      <w:pPr>
        <w:pStyle w:val="Compact"/>
        <w:numPr>
          <w:ilvl w:val="0"/>
          <w:numId w:val="8"/>
        </w:numPr>
        <w:rPr/>
      </w:pPr>
      <w:r>
        <w:rPr/>
        <w:t>DNA Barcoding has been successful for the rapid analysis of ecological assemblages</w:t>
      </w:r>
      <w:del w:id="2" w:author="Unknown Author" w:date="2023-03-24T17:22:47Z">
        <w:r>
          <w:rPr/>
          <w:commentReference w:id="2"/>
        </w:r>
      </w:del>
      <w:r>
        <w:rPr/>
        <w:t xml:space="preserve">. </w:t>
      </w:r>
      <w:del w:id="3" w:author="Jane Ogilvie" w:date="2023-02-26T14:22:00Z">
        <w:r>
          <w:rPr/>
          <w:delText xml:space="preserve">Although </w:delText>
        </w:r>
      </w:del>
      <w:ins w:id="4" w:author="Jane Ogilvie" w:date="2023-02-26T14:22:00Z">
        <w:r>
          <w:rPr/>
          <w:t>B</w:t>
        </w:r>
      </w:ins>
      <w:del w:id="5" w:author="Jane Ogilvie" w:date="2023-02-26T14:22:00Z">
        <w:r>
          <w:rPr/>
          <w:delText>b</w:delText>
        </w:r>
      </w:del>
      <w:r>
        <w:rPr/>
        <w:t xml:space="preserve">arcoding in the plant kingdom </w:t>
      </w:r>
      <w:moveFrom w:id="6" w:author="Jane Ogilvie" w:date="2023-02-26T14:21:00Z">
        <w:r>
          <w:rPr/>
          <w:t xml:space="preserve">barcoding </w:t>
        </w:r>
      </w:moveFrom>
      <w:r>
        <w:rPr/>
        <w:t xml:space="preserve">has been more difficult than </w:t>
      </w:r>
      <w:ins w:id="7" w:author="Jane Ogilvie" w:date="2023-02-26T14:22:00Z">
        <w:r>
          <w:rPr/>
          <w:t xml:space="preserve">in </w:t>
        </w:r>
      </w:ins>
      <w:r>
        <w:rPr/>
        <w:t xml:space="preserve">others, and hence </w:t>
      </w:r>
      <w:ins w:id="8" w:author="Jane Ogilvie" w:date="2023-02-26T14:25:00Z">
        <w:r>
          <w:rPr/>
          <w:t xml:space="preserve">barcoding progress </w:t>
        </w:r>
      </w:ins>
      <w:del w:id="9" w:author="Unknown Author" w:date="2023-03-24T17:24:49Z">
        <w:r>
          <w:rPr/>
          <w:commentReference w:id="3"/>
        </w:r>
      </w:del>
      <w:r>
        <w:rPr/>
        <w:t>may begin to lag behind other kingdoms.</w:t>
      </w:r>
    </w:p>
    <w:p>
      <w:pPr>
        <w:pStyle w:val="Compact"/>
        <w:numPr>
          <w:ilvl w:val="0"/>
          <w:numId w:val="9"/>
        </w:numPr>
        <w:rPr/>
      </w:pPr>
      <w:commentRangeStart w:id="4"/>
      <w:commentRangeStart w:id="5"/>
      <w:r>
        <w:rPr/>
        <w:t>Here we test the utilization of Angiosperms 353 probes to barcode plant species found in corbiculae</w:t>
      </w:r>
      <w:ins w:id="10" w:author="Jane Ogilvie" w:date="2023-03-01T16:56:00Z">
        <w:r>
          <w:rPr/>
          <w:t xml:space="preserve"> </w:t>
        </w:r>
      </w:ins>
      <w:r>
        <w:rPr/>
        <w:t xml:space="preserve">pollen loads collected from </w:t>
      </w:r>
      <w:ins w:id="11" w:author="Jane Ogilvie" w:date="2023-03-01T16:56:00Z">
        <w:r>
          <w:rPr/>
          <w:t>q</w:t>
        </w:r>
      </w:ins>
      <w:del w:id="12" w:author="Jane Ogilvie" w:date="2023-03-01T16:56:00Z">
        <w:r>
          <w:rPr/>
          <w:delText>Q</w:delText>
        </w:r>
      </w:del>
      <w:r>
        <w:rPr/>
        <w:t>ueen Bumble Bees</w:t>
      </w:r>
      <w:r>
        <w:rPr/>
      </w:r>
      <w:commentRangeEnd w:id="5"/>
      <w:r>
        <w:commentReference w:id="5"/>
      </w:r>
      <w:r>
        <w:rPr/>
      </w:r>
      <w:commentRangeEnd w:id="4"/>
      <w:r>
        <w:commentReference w:id="4"/>
      </w:r>
      <w:r>
        <w:rPr/>
        <w:t>.</w:t>
      </w:r>
    </w:p>
    <w:p>
      <w:pPr>
        <w:pStyle w:val="Compact"/>
        <w:numPr>
          <w:ilvl w:val="0"/>
          <w:numId w:val="10"/>
        </w:numPr>
        <w:rPr/>
      </w:pPr>
      <w:r>
        <w:rPr/>
        <w:t>To verify the accuracy of this barcoding system we compared the barcoding data to museum plant specimens, observations of plant flowering and bee flower visitation in the field, and species distribution modelling to identify likely candidate plant species found within the corbiculae pollen loads.</w:t>
      </w:r>
    </w:p>
    <w:p>
      <w:pPr>
        <w:pStyle w:val="Compact"/>
        <w:numPr>
          <w:ilvl w:val="0"/>
          <w:numId w:val="11"/>
        </w:numPr>
        <w:rPr/>
      </w:pPr>
      <w:r>
        <w:rPr/>
        <w:t xml:space="preserve">By utilizing </w:t>
      </w:r>
      <w:ins w:id="13" w:author="Jane Ogilvie" w:date="2023-02-26T15:28:00Z">
        <w:r>
          <w:rPr/>
          <w:t>s</w:t>
        </w:r>
      </w:ins>
      <w:del w:id="14" w:author="Jane Ogilvie" w:date="2023-02-26T15:28:00Z">
        <w:r>
          <w:rPr/>
          <w:delText>S</w:delText>
        </w:r>
      </w:del>
      <w:r>
        <w:rPr/>
        <w:t>pecies distribution modelling we allow users to create a regionally appropriate sequence databases which may use increase the alignment algorithms minimizing need for large computational power</w:t>
      </w:r>
      <w:del w:id="15" w:author="Jane Ogilvie" w:date="2023-03-01T16:56:00Z">
        <w:r>
          <w:rPr/>
          <w:delText>,</w:delText>
        </w:r>
      </w:del>
      <w:r>
        <w:rPr/>
        <w:t xml:space="preserve"> and run time.</w:t>
      </w:r>
    </w:p>
    <w:p>
      <w:pPr>
        <w:pStyle w:val="Compact"/>
        <w:numPr>
          <w:ilvl w:val="0"/>
          <w:numId w:val="12"/>
        </w:numPr>
        <w:rPr/>
      </w:pPr>
      <w:commentRangeStart w:id="6"/>
      <w:r>
        <w:rPr/>
        <w:t>We show that the Angiosperms 353 probes, which are currently being used in the largest ever plant systematic endeavor, offers significant promise to metagenomic approaches.</w:t>
      </w:r>
      <w:commentRangeEnd w:id="6"/>
      <w:r>
        <w:commentReference w:id="6"/>
      </w:r>
      <w:r>
        <w:rPr/>
      </w:r>
    </w:p>
    <w:p>
      <w:pPr>
        <w:pStyle w:val="Compact"/>
        <w:numPr>
          <w:ilvl w:val="0"/>
          <w:numId w:val="13"/>
        </w:numPr>
        <w:rPr/>
      </w:pPr>
      <w:r>
        <w:rPr/>
        <w:t>The DNA barcoding of bumble bee corbiculae pollen loads was most accurate when combined with knowledge of what plant species were flowering in the plant community when they were collected. Thus, supplementing DNA barcoding data with ecological context is most accurate and powerful.</w:t>
      </w:r>
      <w:del w:id="16" w:author="Unknown Author" w:date="2023-03-24T17:26:28Z">
        <w:r>
          <w:rPr/>
          <w:commentReference w:id="7"/>
        </w:r>
      </w:del>
    </w:p>
    <w:p>
      <w:pPr>
        <w:pStyle w:val="Heading1"/>
        <w:rPr/>
      </w:pPr>
      <w:bookmarkStart w:id="0" w:name="introduction"/>
      <w:r>
        <w:rPr/>
        <w:t>1 | INTRODUCTION</w:t>
      </w:r>
    </w:p>
    <w:p>
      <w:pPr>
        <w:pStyle w:val="FirstParagraph"/>
        <w:rPr/>
      </w:pPr>
      <w:r>
        <w:rPr/>
        <w:t xml:space="preserve">The </w:t>
      </w:r>
      <w:del w:id="17" w:author="Unknown Author" w:date="2023-03-24T17:26:20Z">
        <w:r>
          <w:rPr/>
          <w:commentReference w:id="8"/>
        </w:r>
      </w:del>
      <w:r>
        <w:rPr/>
        <w:t xml:space="preserve">inability to reliably identify plants to </w:t>
      </w:r>
      <w:del w:id="18" w:author="Jane Ogilvie" w:date="2023-02-26T15:47:00Z">
        <w:r>
          <w:rPr/>
          <w:delText>terminal taxon</w:delText>
        </w:r>
      </w:del>
      <w:ins w:id="19" w:author="Jane Ogilvie" w:date="2023-02-26T15:47:00Z">
        <w:r>
          <w:rPr/>
          <w:t>species</w:t>
        </w:r>
      </w:ins>
      <w:r>
        <w:rPr/>
        <w:t xml:space="preserve"> can limit our understanding of </w:t>
      </w:r>
      <w:ins w:id="20" w:author="Jane Ogilvie" w:date="2023-03-01T17:05:00Z">
        <w:r>
          <w:rPr/>
          <w:t>s</w:t>
        </w:r>
      </w:ins>
      <w:ins w:id="21" w:author="Jane Ogilvie" w:date="2023-03-01T17:06:00Z">
        <w:r>
          <w:rPr/>
          <w:t xml:space="preserve">pecies roles in </w:t>
        </w:r>
      </w:ins>
      <w:r>
        <w:rPr/>
        <w:t>ecosystem function</w:t>
      </w:r>
      <w:ins w:id="22" w:author="Jane Ogilvie" w:date="2023-03-01T17:06:00Z">
        <w:r>
          <w:rPr/>
          <w:t>ing</w:t>
        </w:r>
      </w:ins>
      <w:r>
        <w:rPr/>
        <w:t xml:space="preserve"> and </w:t>
      </w:r>
      <w:ins w:id="23" w:author="Jane Ogilvie" w:date="2023-03-01T17:06:00Z">
        <w:r>
          <w:rPr/>
          <w:t xml:space="preserve">ecological </w:t>
        </w:r>
      </w:ins>
      <w:r>
        <w:rPr/>
        <w:t>interactions (Bortolus (</w:t>
      </w:r>
      <w:hyperlink w:anchor="ref-bortolus2008error">
        <w:r>
          <w:rPr>
            <w:rStyle w:val="InternetLink"/>
          </w:rPr>
          <w:t>2008</w:t>
        </w:r>
      </w:hyperlink>
      <w:r>
        <w:rPr/>
        <w:t>)). This is especially true for genera where identification down to species can be useful as specific bioindicators; defining ecological and behavioral properties (e.g.</w:t>
      </w:r>
      <w:ins w:id="24" w:author="Jane Ogilvie" w:date="2023-02-26T15:50:00Z">
        <w:r>
          <w:rPr/>
          <w:t>,</w:t>
        </w:r>
      </w:ins>
      <w:r>
        <w:rPr/>
        <w:t xml:space="preserve"> different species of Sagebrush- </w:t>
      </w:r>
      <w:r>
        <w:rPr>
          <w:i/>
          <w:iCs/>
        </w:rPr>
        <w:t>Artemisia</w:t>
      </w:r>
      <w:r>
        <w:rPr/>
        <w:t xml:space="preserve"> L., Willows - </w:t>
      </w:r>
      <w:r>
        <w:rPr>
          <w:i/>
          <w:iCs/>
        </w:rPr>
        <w:t>Salix</w:t>
      </w:r>
      <w:r>
        <w:rPr/>
        <w:t xml:space="preserve"> L., and Sedges - </w:t>
      </w:r>
      <w:r>
        <w:rPr>
          <w:i/>
          <w:iCs/>
        </w:rPr>
        <w:t>Carex</w:t>
      </w:r>
      <w:r>
        <w:rPr/>
        <w:t xml:space="preserve"> L.) </w:t>
      </w:r>
      <w:del w:id="25" w:author="Unknown Author" w:date="2023-03-24T17:26:14Z">
        <w:r>
          <w:rPr/>
          <w:commentReference w:id="9"/>
        </w:r>
      </w:del>
      <w:r>
        <w:rPr/>
        <w:t>(Gage &amp; Cooper (</w:t>
      </w:r>
      <w:hyperlink w:anchor="ref-Gage2013HistoricalRO">
        <w:r>
          <w:rPr>
            <w:rStyle w:val="InternetLink"/>
          </w:rPr>
          <w:t>2013</w:t>
        </w:r>
      </w:hyperlink>
      <w:r>
        <w:rPr/>
        <w:t>)).</w:t>
      </w:r>
      <w:ins w:id="26" w:author="Jane Ogilvie" w:date="2023-02-26T15:48:00Z">
        <w:r>
          <w:rPr/>
          <w:t xml:space="preserve"> </w:t>
        </w:r>
      </w:ins>
      <w:r>
        <w:rPr/>
        <w:t>In these instances</w:t>
      </w:r>
      <w:ins w:id="27" w:author="Jane Ogilvie" w:date="2023-02-26T15:54:00Z">
        <w:r>
          <w:rPr/>
          <w:t>,</w:t>
        </w:r>
      </w:ins>
      <w:r>
        <w:rPr/>
        <w:t xml:space="preserve"> the lack of species level data can hinder our understanding of the breadth of habitat which some species occupy, and their interactions with other species. This can be further complicated by the fact that the identification of organisms to terminal taxon</w:t>
      </w:r>
      <w:del w:id="28" w:author="Unknown Author" w:date="2023-03-01T20:05:48Z">
        <w:r>
          <w:rPr/>
          <w:commentReference w:id="10"/>
        </w:r>
      </w:del>
      <w:r>
        <w:rPr/>
        <w:t xml:space="preserve"> is also often mired by lack of diagnostic characters</w:t>
      </w:r>
      <w:ins w:id="29" w:author="Jane Ogilvie" w:date="2023-02-26T15:55:00Z">
        <w:r>
          <w:rPr/>
          <w:t xml:space="preserve"> </w:t>
        </w:r>
      </w:ins>
      <w:r>
        <w:rPr/>
        <w:t xml:space="preserve">(e.g. flowers, fruits, roots or combinations thereof), an increasing lack of taxonomic experts (Hebert </w:t>
      </w:r>
      <w:r>
        <w:rPr>
          <w:i/>
          <w:iCs/>
        </w:rPr>
        <w:t>et al.</w:t>
      </w:r>
      <w:r>
        <w:rPr/>
        <w:t xml:space="preserve"> (</w:t>
      </w:r>
      <w:hyperlink w:anchor="ref-hebert2003biological">
        <w:r>
          <w:rPr>
            <w:rStyle w:val="InternetLink"/>
          </w:rPr>
          <w:t>2003</w:t>
        </w:r>
      </w:hyperlink>
      <w:r>
        <w:rPr/>
        <w:t>))</w:t>
      </w:r>
      <w:ins w:id="30" w:author="Jane Ogilvie" w:date="2023-02-26T15:55:00Z">
        <w:r>
          <w:rPr/>
          <w:t>,</w:t>
        </w:r>
      </w:ins>
      <w:r>
        <w:rPr/>
        <w:t xml:space="preserve"> and the presence of cryptic species (Janzen </w:t>
      </w:r>
      <w:r>
        <w:rPr>
          <w:i/>
          <w:iCs/>
        </w:rPr>
        <w:t>et al.</w:t>
      </w:r>
      <w:r>
        <w:rPr/>
        <w:t xml:space="preserve"> (</w:t>
      </w:r>
      <w:hyperlink w:anchor="ref-janzen2017nuclear">
        <w:r>
          <w:rPr>
            <w:rStyle w:val="InternetLink"/>
          </w:rPr>
          <w:t>2017</w:t>
        </w:r>
      </w:hyperlink>
      <w:r>
        <w:rPr/>
        <w:t xml:space="preserve">), Oliver </w:t>
      </w:r>
      <w:r>
        <w:rPr>
          <w:i/>
          <w:iCs/>
        </w:rPr>
        <w:t>et al.</w:t>
      </w:r>
      <w:r>
        <w:rPr/>
        <w:t xml:space="preserve"> (</w:t>
      </w:r>
      <w:hyperlink w:anchor="ref-oliver2009cryptic">
        <w:r>
          <w:rPr>
            <w:rStyle w:val="InternetLink"/>
          </w:rPr>
          <w:t>2009</w:t>
        </w:r>
      </w:hyperlink>
      <w:r>
        <w:rPr/>
        <w:t>)). Taxonomic verification can also be limited by the fact that revisiting field sites to identify material using morphological or chemical approaches</w:t>
      </w:r>
      <w:del w:id="31" w:author="Jane Ogilvie" w:date="2023-02-26T15:56:00Z">
        <w:r>
          <w:rPr/>
          <w:delText>,</w:delText>
        </w:r>
      </w:del>
      <w:r>
        <w:rPr/>
        <w:t xml:space="preserve"> can be resource intensive and often ineffective. The current methods to ameliorate this situation include: (i) ignoring these ecologically relevant levels of detail, (ii) revisiting plots as diagnostic material becomes temporally available, (iii) seeking the assistance from taxonomic specialists, or (iv) the use of barcoding using molecular techniques (CITE)</w:t>
      </w:r>
      <w:ins w:id="32" w:author="Jane Ogilvie" w:date="2023-02-26T15:56:00Z">
        <w:r>
          <w:rPr/>
          <w:t>.</w:t>
        </w:r>
      </w:ins>
    </w:p>
    <w:p>
      <w:pPr>
        <w:pStyle w:val="TextBody"/>
        <w:rPr/>
      </w:pPr>
      <w:r>
        <w:rPr/>
        <w:t>Recently</w:t>
      </w:r>
      <w:ins w:id="33" w:author="Jane Ogilvie" w:date="2023-02-26T15:57:00Z">
        <w:r>
          <w:rPr/>
          <w:t>,</w:t>
        </w:r>
      </w:ins>
      <w:r>
        <w:rPr/>
        <w:t xml:space="preserve"> molecular barcoding (the identification of a sample from a single organism </w:t>
      </w:r>
      <w:r>
        <w:rPr>
          <w:i/>
          <w:iCs/>
        </w:rPr>
        <w:t>e.g.</w:t>
      </w:r>
      <w:ins w:id="34" w:author="Jane Ogilvie" w:date="2023-02-26T15:57:00Z">
        <w:r>
          <w:rPr>
            <w:i/>
            <w:iCs/>
          </w:rPr>
          <w:t>,</w:t>
        </w:r>
      </w:ins>
      <w:r>
        <w:rPr/>
        <w:t xml:space="preserve"> a piece of leaf), or metabarcoding (the identification of a sample containing a mix of organisms </w:t>
      </w:r>
      <w:r>
        <w:rPr>
          <w:i/>
          <w:iCs/>
        </w:rPr>
        <w:t>e.g.</w:t>
      </w:r>
      <w:ins w:id="35" w:author="Jane Ogilvie" w:date="2023-02-26T15:57:00Z">
        <w:r>
          <w:rPr>
            <w:i/>
            <w:iCs/>
          </w:rPr>
          <w:t>,</w:t>
        </w:r>
      </w:ins>
      <w:r>
        <w:rPr/>
        <w:t xml:space="preserve"> soil), have shown considerable promise in many taxa (Ruppert </w:t>
      </w:r>
      <w:r>
        <w:rPr>
          <w:i/>
          <w:iCs/>
        </w:rPr>
        <w:t>et al.</w:t>
      </w:r>
      <w:r>
        <w:rPr/>
        <w:t xml:space="preserve"> (</w:t>
      </w:r>
      <w:hyperlink w:anchor="ref-ruppert2019past">
        <w:r>
          <w:rPr>
            <w:rStyle w:val="InternetLink"/>
          </w:rPr>
          <w:t>2019</w:t>
        </w:r>
      </w:hyperlink>
      <w:r>
        <w:rPr/>
        <w:t>)). For plants the success is mixed, with the identification of certain clades using barcoding being quite successful (Kress (</w:t>
      </w:r>
      <w:hyperlink w:anchor="ref-kress2017plant">
        <w:r>
          <w:rPr>
            <w:rStyle w:val="InternetLink"/>
          </w:rPr>
          <w:t>2017</w:t>
        </w:r>
      </w:hyperlink>
      <w:r>
        <w:rPr/>
        <w:t xml:space="preserve">)), however for many other clades the results have been more elusive (Liu </w:t>
      </w:r>
      <w:r>
        <w:rPr>
          <w:i/>
          <w:iCs/>
        </w:rPr>
        <w:t>et al.</w:t>
      </w:r>
      <w:r>
        <w:rPr/>
        <w:t xml:space="preserve"> (</w:t>
      </w:r>
      <w:hyperlink w:anchor="ref-liu2014identification">
        <w:r>
          <w:rPr>
            <w:rStyle w:val="InternetLink"/>
          </w:rPr>
          <w:t>2014</w:t>
        </w:r>
      </w:hyperlink>
      <w:r>
        <w:rPr/>
        <w:t xml:space="preserve">), Group </w:t>
      </w:r>
      <w:r>
        <w:rPr>
          <w:i/>
          <w:iCs/>
        </w:rPr>
        <w:t>et al.</w:t>
      </w:r>
      <w:r>
        <w:rPr/>
        <w:t xml:space="preserve"> (</w:t>
      </w:r>
      <w:hyperlink w:anchor="ref-china2011comparative">
        <w:r>
          <w:rPr>
            <w:rStyle w:val="InternetLink"/>
          </w:rPr>
          <w:t>2011</w:t>
        </w:r>
      </w:hyperlink>
      <w:r>
        <w:rPr/>
        <w:t xml:space="preserve">), Coissac </w:t>
      </w:r>
      <w:r>
        <w:rPr>
          <w:i/>
          <w:iCs/>
        </w:rPr>
        <w:t>et al.</w:t>
      </w:r>
      <w:r>
        <w:rPr/>
        <w:t xml:space="preserve"> (</w:t>
      </w:r>
      <w:hyperlink w:anchor="ref-coissac2012bioinformatic">
        <w:r>
          <w:rPr>
            <w:rStyle w:val="InternetLink"/>
          </w:rPr>
          <w:t>2012</w:t>
        </w:r>
      </w:hyperlink>
      <w:r>
        <w:rPr/>
        <w:t xml:space="preserve">)), while metabarcoding has incurred additional challenges for the </w:t>
      </w:r>
      <w:commentRangeStart w:id="11"/>
      <w:r>
        <w:rPr/>
        <w:t>currently</w:t>
      </w:r>
      <w:r>
        <w:rPr/>
      </w:r>
      <w:commentRangeEnd w:id="11"/>
      <w:r>
        <w:commentReference w:id="11"/>
      </w:r>
      <w:r>
        <w:rPr/>
        <w:t xml:space="preserve"> available barcodes (Li </w:t>
      </w:r>
      <w:r>
        <w:rPr>
          <w:i/>
          <w:iCs/>
        </w:rPr>
        <w:t>et al.</w:t>
      </w:r>
      <w:r>
        <w:rPr/>
        <w:t xml:space="preserve"> (</w:t>
      </w:r>
      <w:hyperlink w:anchor="ref-li2015plant">
        <w:r>
          <w:rPr>
            <w:rStyle w:val="InternetLink"/>
          </w:rPr>
          <w:t>2015</w:t>
        </w:r>
      </w:hyperlink>
      <w:r>
        <w:rPr/>
        <w:t>), Kress &amp; Erickson (</w:t>
      </w:r>
      <w:hyperlink w:anchor="ref-kress2007two">
        <w:r>
          <w:rPr>
            <w:rStyle w:val="InternetLink"/>
          </w:rPr>
          <w:t>2007</w:t>
        </w:r>
      </w:hyperlink>
      <w:r>
        <w:rPr/>
        <w:t xml:space="preserve">), Group </w:t>
      </w:r>
      <w:r>
        <w:rPr>
          <w:i/>
          <w:iCs/>
        </w:rPr>
        <w:t>et al.</w:t>
      </w:r>
      <w:r>
        <w:rPr/>
        <w:t xml:space="preserve"> (</w:t>
      </w:r>
      <w:hyperlink w:anchor="ref-cbol2009dna">
        <w:r>
          <w:rPr>
            <w:rStyle w:val="InternetLink"/>
          </w:rPr>
          <w:t>2009</w:t>
        </w:r>
      </w:hyperlink>
      <w:r>
        <w:rPr/>
        <w:t xml:space="preserve">), Coissac </w:t>
      </w:r>
      <w:r>
        <w:rPr>
          <w:i/>
          <w:iCs/>
        </w:rPr>
        <w:t>et al.</w:t>
      </w:r>
      <w:r>
        <w:rPr/>
        <w:t xml:space="preserve"> (</w:t>
      </w:r>
      <w:hyperlink w:anchor="ref-coissac2012bioinformatic">
        <w:r>
          <w:rPr>
            <w:rStyle w:val="InternetLink"/>
          </w:rPr>
          <w:t>2012</w:t>
        </w:r>
      </w:hyperlink>
      <w:r>
        <w:rPr/>
        <w:t xml:space="preserve">)). </w:t>
      </w:r>
      <w:commentRangeStart w:id="12"/>
      <w:r>
        <w:rPr/>
        <w:t xml:space="preserve">Particular challenges for the utilization of the high copy number barcodes (e.g. ITS2, </w:t>
      </w:r>
      <w:r>
        <w:rPr>
          <w:i/>
          <w:iCs/>
        </w:rPr>
        <w:t>rbcL</w:t>
      </w:r>
      <w:r>
        <w:rPr/>
        <w:t xml:space="preserve">, </w:t>
      </w:r>
      <w:r>
        <w:rPr>
          <w:i/>
          <w:iCs/>
        </w:rPr>
        <w:t>matK</w:t>
      </w:r>
      <w:r>
        <w:rPr/>
        <w:t xml:space="preserve">, </w:t>
      </w:r>
      <w:r>
        <w:rPr>
          <w:i/>
          <w:iCs/>
        </w:rPr>
        <w:t>trnH-psbA</w:t>
      </w:r>
      <w:r>
        <w:rPr/>
        <w:t xml:space="preserve">) include their rates of divergence, gene tree conflict, and hybridization (Coissac </w:t>
      </w:r>
      <w:r>
        <w:rPr>
          <w:i/>
          <w:iCs/>
        </w:rPr>
        <w:t>et al.</w:t>
      </w:r>
      <w:r>
        <w:rPr/>
        <w:t xml:space="preserve"> (</w:t>
      </w:r>
      <w:hyperlink w:anchor="ref-coissac2016barcodes">
        <w:r>
          <w:rPr>
            <w:rStyle w:val="InternetLink"/>
          </w:rPr>
          <w:t>2016</w:t>
        </w:r>
      </w:hyperlink>
      <w:r>
        <w:rPr/>
        <w:t xml:space="preserve">), Fazekas </w:t>
      </w:r>
      <w:r>
        <w:rPr>
          <w:i/>
          <w:iCs/>
        </w:rPr>
        <w:t>et al.</w:t>
      </w:r>
      <w:r>
        <w:rPr/>
        <w:t xml:space="preserve"> (</w:t>
      </w:r>
      <w:hyperlink w:anchor="ref-fazekas2009plant">
        <w:r>
          <w:rPr>
            <w:rStyle w:val="InternetLink"/>
          </w:rPr>
          <w:t>2009</w:t>
        </w:r>
      </w:hyperlink>
      <w:r>
        <w:rPr/>
        <w:t>)).</w:t>
      </w:r>
      <w:commentRangeEnd w:id="12"/>
      <w:r>
        <w:commentReference w:id="12"/>
      </w:r>
      <w:r>
        <w:rPr/>
      </w:r>
    </w:p>
    <w:p>
      <w:pPr>
        <w:pStyle w:val="TextBody"/>
        <w:rPr/>
      </w:pPr>
      <w:commentRangeStart w:id="13"/>
      <w:r>
        <w:rPr/>
        <w:t xml:space="preserve">Currently </w:t>
      </w:r>
      <w:r>
        <w:rPr/>
      </w:r>
      <w:commentRangeEnd w:id="13"/>
      <w:r>
        <w:commentReference w:id="13"/>
      </w:r>
      <w:r>
        <w:rPr/>
        <w:t>the largest plant systematic endeavor ever undertaken</w:t>
      </w:r>
      <w:del w:id="36" w:author="Jane Ogilvie" w:date="2023-03-01T17:34:00Z">
        <w:r>
          <w:rPr/>
          <w:delText>,by the Royal Botanic Gardens Kew</w:delText>
        </w:r>
      </w:del>
      <w:r>
        <w:rPr/>
        <w:t>, the Plant and Fungal Tree of Life (PAFTOL)</w:t>
      </w:r>
      <w:ins w:id="37" w:author="Jane Ogilvie" w:date="2023-03-01T17:34:00Z">
        <w:r>
          <w:rPr/>
          <w:t>,</w:t>
        </w:r>
      </w:ins>
      <w:r>
        <w:rPr/>
        <w:t xml:space="preserve"> is approaching completion (Baker </w:t>
      </w:r>
      <w:r>
        <w:rPr>
          <w:i/>
          <w:iCs/>
        </w:rPr>
        <w:t>et al.</w:t>
      </w:r>
      <w:r>
        <w:rPr/>
        <w:t xml:space="preserve"> (</w:t>
      </w:r>
      <w:hyperlink w:anchor="ref-baker2021PAFTOL">
        <w:r>
          <w:rPr>
            <w:rStyle w:val="InternetLink"/>
          </w:rPr>
          <w:t>2021a</w:t>
        </w:r>
      </w:hyperlink>
      <w:r>
        <w:rPr/>
        <w:t>)). This data set will contain hybridization capture (Hyb-Seq) data from at least one species in each genus of the plant kingdom,</w:t>
      </w:r>
      <w:ins w:id="38" w:author="Jane Ogilvie" w:date="2023-02-26T15:59:00Z">
        <w:r>
          <w:rPr/>
          <w:t xml:space="preserve"> </w:t>
        </w:r>
      </w:ins>
      <w:r>
        <w:rPr/>
        <w:t>14,000 represented species</w:t>
      </w:r>
      <w:ins w:id="39" w:author="Jane Ogilvie" w:date="2023-03-01T17:35:00Z">
        <w:r>
          <w:rPr/>
          <w:t xml:space="preserve"> in total</w:t>
        </w:r>
      </w:ins>
      <w:r>
        <w:rPr/>
        <w:t xml:space="preserve">, using the popular Angiosperms353 (A353) probes, which includes 353 single-copy orthologous loci, (Baker </w:t>
      </w:r>
      <w:r>
        <w:rPr>
          <w:i/>
          <w:iCs/>
        </w:rPr>
        <w:t>et al.</w:t>
      </w:r>
      <w:r>
        <w:rPr/>
        <w:t xml:space="preserve"> (</w:t>
      </w:r>
      <w:hyperlink w:anchor="ref-baker2021PAFTOL">
        <w:r>
          <w:rPr>
            <w:rStyle w:val="InternetLink"/>
          </w:rPr>
          <w:t>2021a</w:t>
        </w:r>
      </w:hyperlink>
      <w:r>
        <w:rPr/>
        <w:t xml:space="preserve">), Johnson </w:t>
      </w:r>
      <w:r>
        <w:rPr>
          <w:i/>
          <w:iCs/>
        </w:rPr>
        <w:t>et al.</w:t>
      </w:r>
      <w:r>
        <w:rPr/>
        <w:t xml:space="preserve"> (</w:t>
      </w:r>
      <w:hyperlink w:anchor="ref-johnson2019universal">
        <w:r>
          <w:rPr>
            <w:rStyle w:val="InternetLink"/>
          </w:rPr>
          <w:t>2019</w:t>
        </w:r>
      </w:hyperlink>
      <w:r>
        <w:rPr/>
        <w:t xml:space="preserve">)). These publicly available data serve to provide a taxonomically comprehensive backbone for plant metabarcoding. The A353 probes are currently being used in many other plant phylogenetic studies increasing the sampling depth of many clades (Baker </w:t>
      </w:r>
      <w:r>
        <w:rPr>
          <w:i/>
          <w:iCs/>
        </w:rPr>
        <w:t>et al.</w:t>
      </w:r>
      <w:r>
        <w:rPr/>
        <w:t xml:space="preserve"> (</w:t>
      </w:r>
      <w:hyperlink w:anchor="ref-baker2021exploring">
        <w:r>
          <w:rPr>
            <w:rStyle w:val="InternetLink"/>
          </w:rPr>
          <w:t>2021b</w:t>
        </w:r>
      </w:hyperlink>
      <w:r>
        <w:rPr/>
        <w:t>)). Data from the 10kP project, which seeks to develop reference genomes from a phylogenetically diverse suite of plants, will contribute many more species by 2030 (citation). Similar projects such as the ‘Darwin Tree of Life’</w:t>
      </w:r>
      <w:ins w:id="40" w:author="Jane Ogilvie" w:date="2023-03-01T17:38:00Z">
        <w:r>
          <w:rPr/>
          <w:t>,</w:t>
        </w:r>
      </w:ins>
      <w:r>
        <w:rPr/>
        <w:t xml:space="preserve"> which will sequence all described taxa in Britain and Ireland, seek to sequence high numbers</w:t>
      </w:r>
      <w:ins w:id="41" w:author="Jane Ogilvie" w:date="2023-02-26T16:01:00Z">
        <w:r>
          <w:rPr/>
          <w:t xml:space="preserve"> </w:t>
        </w:r>
      </w:ins>
      <w:r>
        <w:rPr/>
        <w:t xml:space="preserve">of genomes in geographic regions will contribute data sets applicable to enormous spatial domains (Cheng </w:t>
      </w:r>
      <w:r>
        <w:rPr>
          <w:i/>
          <w:iCs/>
        </w:rPr>
        <w:t>et al.</w:t>
      </w:r>
      <w:r>
        <w:rPr/>
        <w:t xml:space="preserve"> (</w:t>
      </w:r>
      <w:hyperlink w:anchor="ref-cheng2018tenkp">
        <w:r>
          <w:rPr>
            <w:rStyle w:val="InternetLink"/>
          </w:rPr>
          <w:t>2018</w:t>
        </w:r>
      </w:hyperlink>
      <w:r>
        <w:rPr/>
        <w:t xml:space="preserve">), Life Project Consortium </w:t>
      </w:r>
      <w:r>
        <w:rPr>
          <w:i/>
          <w:iCs/>
        </w:rPr>
        <w:t>et al.</w:t>
      </w:r>
      <w:r>
        <w:rPr/>
        <w:t xml:space="preserve"> (</w:t>
      </w:r>
      <w:hyperlink w:anchor="ref-darwin2022project">
        <w:r>
          <w:rPr>
            <w:rStyle w:val="InternetLink"/>
          </w:rPr>
          <w:t>2022</w:t>
        </w:r>
      </w:hyperlink>
      <w:r>
        <w:rPr/>
        <w:t xml:space="preserve">), Lewin </w:t>
      </w:r>
      <w:r>
        <w:rPr>
          <w:i/>
          <w:iCs/>
        </w:rPr>
        <w:t>et al.</w:t>
      </w:r>
      <w:r>
        <w:rPr/>
        <w:t xml:space="preserve"> (</w:t>
      </w:r>
      <w:hyperlink w:anchor="ref-lewin2022biogenome">
        <w:r>
          <w:rPr>
            <w:rStyle w:val="InternetLink"/>
          </w:rPr>
          <w:t>2022</w:t>
        </w:r>
      </w:hyperlink>
      <w:r>
        <w:rPr/>
        <w:t>)). These data will promote the ability to apply metabarcoding to resolve a diverse array of questions relevant to theoretical and applied ecology (Kress (</w:t>
      </w:r>
      <w:hyperlink w:anchor="ref-kress2017plant">
        <w:r>
          <w:rPr>
            <w:rStyle w:val="InternetLink"/>
          </w:rPr>
          <w:t>2017</w:t>
        </w:r>
      </w:hyperlink>
      <w:r>
        <w:rPr/>
        <w:t xml:space="preserve">), Hollingsworth </w:t>
      </w:r>
      <w:r>
        <w:rPr>
          <w:i/>
          <w:iCs/>
        </w:rPr>
        <w:t>et al.</w:t>
      </w:r>
      <w:r>
        <w:rPr/>
        <w:t xml:space="preserve"> (</w:t>
      </w:r>
      <w:hyperlink w:anchor="ref-hollingsworth2016telling">
        <w:r>
          <w:rPr>
            <w:rStyle w:val="InternetLink"/>
          </w:rPr>
          <w:t>2016</w:t>
        </w:r>
      </w:hyperlink>
      <w:r>
        <w:rPr/>
        <w:t>)). However, the application of metabarcoding still faces challenges relating to the enormity of the genomic data sets and the computational power required to process sequence data.</w:t>
      </w:r>
    </w:p>
    <w:p>
      <w:pPr>
        <w:pStyle w:val="TextBody"/>
        <w:rPr/>
      </w:pPr>
      <w:commentRangeStart w:id="14"/>
      <w:r>
        <w:rPr/>
        <w:t xml:space="preserve">Herein </w:t>
      </w:r>
      <w:r>
        <w:rPr/>
      </w:r>
      <w:commentRangeEnd w:id="14"/>
      <w:r>
        <w:commentReference w:id="14"/>
      </w:r>
      <w:r>
        <w:rPr/>
        <w:t xml:space="preserve">we have resolved major components of the problems of identifying plant material without diagnostic morphological character states using the A353 Hyb-Seq probes (Johnson </w:t>
      </w:r>
      <w:r>
        <w:rPr>
          <w:i/>
          <w:iCs/>
        </w:rPr>
        <w:t>et al.</w:t>
      </w:r>
      <w:r>
        <w:rPr/>
        <w:t xml:space="preserve"> (</w:t>
      </w:r>
      <w:hyperlink w:anchor="ref-johnson2019universal">
        <w:r>
          <w:rPr>
            <w:rStyle w:val="InternetLink"/>
          </w:rPr>
          <w:t>2019</w:t>
        </w:r>
      </w:hyperlink>
      <w:r>
        <w:rPr/>
        <w:t>)), and custom species sequence databases derived via species distribution modelling, and temporal filtering.</w:t>
      </w:r>
    </w:p>
    <w:p>
      <w:pPr>
        <w:pStyle w:val="TextBody"/>
        <w:rPr/>
      </w:pPr>
      <w:r>
        <w:rPr/>
        <w:t xml:space="preserve">To increase the quality of metabarcoding results in plants, we are proposing </w:t>
      </w:r>
      <w:ins w:id="42" w:author="Jane Ogilvie" w:date="2023-02-26T16:02:00Z">
        <w:r>
          <w:rPr/>
          <w:t>t</w:t>
        </w:r>
      </w:ins>
      <w:ins w:id="43" w:author="Jane Ogilvie" w:date="2023-02-26T16:03:00Z">
        <w:r>
          <w:rPr/>
          <w:t xml:space="preserve">o </w:t>
        </w:r>
      </w:ins>
      <w:r>
        <w:rPr/>
        <w:t>reduc</w:t>
      </w:r>
      <w:ins w:id="44" w:author="Jane Ogilvie" w:date="2023-02-26T16:03:00Z">
        <w:r>
          <w:rPr/>
          <w:t>e</w:t>
        </w:r>
      </w:ins>
      <w:del w:id="45" w:author="Jane Ogilvie" w:date="2023-02-26T16:03:00Z">
        <w:r>
          <w:rPr/>
          <w:delText>ing</w:delText>
        </w:r>
      </w:del>
      <w:r>
        <w:rPr/>
        <w:t xml:space="preserve"> the number of possible candidate species by generating a user specific database</w:t>
      </w:r>
      <w:del w:id="46" w:author="Jane Ogilvie" w:date="2023-02-26T16:03:00Z">
        <w:r>
          <w:rPr/>
          <w:delText>s</w:delText>
        </w:r>
      </w:del>
      <w:r>
        <w:rPr/>
        <w:t xml:space="preserve"> relevant to the region of study and the ecological characteristics of interest (Bell </w:t>
      </w:r>
      <w:r>
        <w:rPr>
          <w:i/>
          <w:iCs/>
        </w:rPr>
        <w:t>et al.</w:t>
      </w:r>
      <w:r>
        <w:rPr/>
        <w:t xml:space="preserve"> (</w:t>
      </w:r>
      <w:hyperlink w:anchor="ref-bell2022plants">
        <w:r>
          <w:rPr>
            <w:rStyle w:val="InternetLink"/>
          </w:rPr>
          <w:t>2022</w:t>
        </w:r>
      </w:hyperlink>
      <w:r>
        <w:rPr/>
        <w:t xml:space="preserve">)). </w:t>
      </w:r>
      <w:commentRangeStart w:id="15"/>
      <w:r>
        <w:rPr/>
        <w:t>To</w:t>
      </w:r>
      <w:r>
        <w:rPr/>
      </w:r>
      <w:commentRangeEnd w:id="15"/>
      <w:r>
        <w:commentReference w:id="15"/>
      </w:r>
      <w:r>
        <w:rPr/>
        <w:t xml:space="preserve"> achieve this goal, we first create a regional list of candidate species using digital collections gleaned from herbaria, survey work, and citizen science (e.g.</w:t>
      </w:r>
      <w:ins w:id="47" w:author="Jane Ogilvie" w:date="2023-02-26T16:05:00Z">
        <w:r>
          <w:rPr/>
          <w:t>,</w:t>
        </w:r>
      </w:ins>
      <w:r>
        <w:rPr/>
        <w:t> iNaturalist), from a region exceeding the study area. For these candidate species, a modelling approach, such as logistic regression, may be used to identify taxa which warrant further exploration e.g.</w:t>
      </w:r>
      <w:ins w:id="48" w:author="Jane Ogilvie" w:date="2023-02-26T16:06:00Z">
        <w:r>
          <w:rPr/>
          <w:t>,</w:t>
        </w:r>
      </w:ins>
      <w:r>
        <w:rPr/>
        <w:t xml:space="preserve"> determine their possibility of presence in metabarcoding samples. </w:t>
      </w:r>
      <w:del w:id="49" w:author="Unknown Author" w:date="2023-03-24T17:28:50Z">
        <w:r>
          <w:rPr/>
          <w:commentReference w:id="16"/>
        </w:r>
      </w:del>
      <w:r>
        <w:rPr/>
        <w:t>We then use species distribution models to create potential distribution maps for the candidate species to limit the impact of spatial and taxonomic biases in the species list and account for spatial variations in niche availability throughout the study area. Species distribution models examine the ecological conditions associated with the known occurrence of a species to identify suitable habitats in the study area. This approach has the benefit of greatly reducing the size of a sequence database, which allows for the use of genomic data on personal computers. This approach can significantly reduce processing time, particularly as most next-generation sequence data is deposited as raw-sequence reads.</w:t>
      </w:r>
    </w:p>
    <w:p>
      <w:pPr>
        <w:pStyle w:val="TextBody"/>
        <w:rPr/>
      </w:pPr>
      <w:commentRangeStart w:id="17"/>
      <w:commentRangeStart w:id="18"/>
      <w:r>
        <w:rPr/>
        <w:t xml:space="preserve">As species interactions vary both in space and time… (@~THOMSON1994 GEO?, CaraDonna </w:t>
      </w:r>
      <w:r>
        <w:rPr>
          <w:i/>
          <w:iCs/>
        </w:rPr>
        <w:t>et al.</w:t>
      </w:r>
      <w:r>
        <w:rPr/>
        <w:t xml:space="preserve"> (</w:t>
      </w:r>
      <w:hyperlink w:anchor="ref-caradonna2021seeing">
        <w:r>
          <w:rPr>
            <w:rStyle w:val="InternetLink"/>
          </w:rPr>
          <w:t>2021</w:t>
        </w:r>
      </w:hyperlink>
      <w:r>
        <w:rPr/>
        <w:t xml:space="preserve">)). </w:t>
      </w:r>
      <w:r>
        <w:rPr/>
      </w:r>
      <w:commentRangeEnd w:id="18"/>
      <w:r>
        <w:commentReference w:id="18"/>
      </w:r>
      <w:r>
        <w:rPr/>
      </w:r>
      <w:commentRangeEnd w:id="17"/>
      <w:r>
        <w:commentReference w:id="17"/>
      </w:r>
      <w:r>
        <w:rPr/>
        <w:t>Plant flowering varies over space and also in time, and in particular, contrasts in the flowering periods of many plant species</w:t>
      </w:r>
      <w:del w:id="50" w:author="Jane Ogilvie" w:date="2023-03-01T18:12:00Z">
        <w:r>
          <w:rPr/>
          <w:delText>,</w:delText>
        </w:r>
      </w:del>
      <w:r>
        <w:rPr/>
        <w:t xml:space="preserve"> can provide an additional filter for identifying material in certain types of metagenomic samples (Janzen (</w:t>
      </w:r>
      <w:hyperlink w:anchor="ref-janzen1967synchronization">
        <w:r>
          <w:rPr>
            <w:rStyle w:val="InternetLink"/>
          </w:rPr>
          <w:t>1967</w:t>
        </w:r>
      </w:hyperlink>
      <w:r>
        <w:rPr/>
        <w:t xml:space="preserve">), Newstrom </w:t>
      </w:r>
      <w:r>
        <w:rPr>
          <w:i/>
          <w:iCs/>
        </w:rPr>
        <w:t>et al.</w:t>
      </w:r>
      <w:r>
        <w:rPr/>
        <w:t xml:space="preserve"> (</w:t>
      </w:r>
      <w:hyperlink w:anchor="ref-Newstrom1994ANC">
        <w:r>
          <w:rPr>
            <w:rStyle w:val="InternetLink"/>
          </w:rPr>
          <w:t>1994</w:t>
        </w:r>
      </w:hyperlink>
      <w:r>
        <w:rPr/>
        <w:t xml:space="preserve">)). In high elevation temperate regions, pollination interactions vary temporally and are characterized by high turnover in active periods of species (CaraDonna </w:t>
      </w:r>
      <w:r>
        <w:rPr>
          <w:i/>
          <w:iCs/>
        </w:rPr>
        <w:t>et al.</w:t>
      </w:r>
      <w:r>
        <w:rPr/>
        <w:t xml:space="preserve"> (</w:t>
      </w:r>
      <w:hyperlink w:anchor="ref-caradonna2017interaction">
        <w:r>
          <w:rPr>
            <w:rStyle w:val="InternetLink"/>
          </w:rPr>
          <w:t>2017</w:t>
        </w:r>
      </w:hyperlink>
      <w:r>
        <w:rPr/>
        <w:t xml:space="preserve">)), </w:t>
      </w:r>
      <w:commentRangeStart w:id="19"/>
      <w:r>
        <w:rPr/>
        <w:t xml:space="preserve">however the overall shorter extent of the active growing season in these systems results in the presence of few to any natural breaks, which reduces the utility of these to operate as filters in the post-processing of sequence matches. </w:t>
      </w:r>
      <w:r>
        <w:rPr/>
      </w:r>
      <w:commentRangeEnd w:id="19"/>
      <w:r>
        <w:commentReference w:id="19"/>
      </w:r>
      <w:r>
        <w:rPr/>
        <w:t>Nonetheless, we work</w:t>
      </w:r>
      <w:moveTo w:id="51" w:author="Jane Ogilvie" w:date="2023-02-26T16:23:00Z">
        <w:r>
          <w:rPr/>
          <w:t xml:space="preserve"> to</w:t>
        </w:r>
      </w:moveTo>
      <w:r>
        <w:rPr/>
        <w:t xml:space="preserve"> develop a general approach which seems applicable to many areas which utilize the temporal dimension for classifying sequences in metagenomic samples (but see Davis </w:t>
      </w:r>
      <w:r>
        <w:rPr>
          <w:i/>
          <w:iCs/>
        </w:rPr>
        <w:t>et al.</w:t>
      </w:r>
      <w:r>
        <w:rPr/>
        <w:t xml:space="preserve"> (</w:t>
      </w:r>
      <w:hyperlink w:anchor="ref-davis2022new">
        <w:r>
          <w:rPr>
            <w:rStyle w:val="InternetLink"/>
          </w:rPr>
          <w:t>2022</w:t>
        </w:r>
      </w:hyperlink>
      <w:r>
        <w:rPr/>
        <w:t>)).</w:t>
      </w:r>
    </w:p>
    <w:p>
      <w:pPr>
        <w:pStyle w:val="TextBody"/>
        <w:rPr/>
      </w:pPr>
      <w:r>
        <w:rPr/>
        <w:t>We tested this metagenomic and informatics approach by examining the plant species composition within corbiculae pollen loads of bumble bees</w:t>
      </w:r>
      <w:del w:id="52" w:author="Unknown Author" w:date="2023-03-24T17:33:03Z">
        <w:r>
          <w:rPr/>
          <w:commentReference w:id="20"/>
        </w:r>
      </w:del>
      <w:r>
        <w:rPr/>
        <w:t xml:space="preserve"> as a case study. In particular, we use DNA barcoding to identify the plant species in corbiculae pollen loads collected from overwintered queen bumble bees, and compare this approach with direct observations of bee flower visits and microscopically-examined pollen slides, </w:t>
      </w:r>
      <w:commentRangeStart w:id="21"/>
      <w:r>
        <w:rPr/>
        <w:t>which has shown some incongruency in several floral visitation networks involving smaller bodied fauna (Barker &amp; Arceo-Gomez (</w:t>
      </w:r>
      <w:hyperlink w:anchor="ref-barker2021pollen">
        <w:r>
          <w:rPr>
            <w:rStyle w:val="InternetLink"/>
          </w:rPr>
          <w:t>2021</w:t>
        </w:r>
      </w:hyperlink>
      <w:r>
        <w:rPr/>
        <w:t xml:space="preserve">), Zhao </w:t>
      </w:r>
      <w:r>
        <w:rPr>
          <w:i/>
          <w:iCs/>
        </w:rPr>
        <w:t>et al.</w:t>
      </w:r>
      <w:r>
        <w:rPr/>
        <w:t xml:space="preserve"> (</w:t>
      </w:r>
      <w:hyperlink w:anchor="ref-zhao2019topology">
        <w:r>
          <w:rPr>
            <w:rStyle w:val="InternetLink"/>
          </w:rPr>
          <w:t>2019</w:t>
        </w:r>
      </w:hyperlink>
      <w:r>
        <w:rPr/>
        <w:t>), Alarcón (</w:t>
      </w:r>
      <w:hyperlink w:anchor="ref-alarcon2010congruence">
        <w:r>
          <w:rPr>
            <w:rStyle w:val="InternetLink"/>
          </w:rPr>
          <w:t>2010</w:t>
        </w:r>
      </w:hyperlink>
      <w:r>
        <w:rPr/>
        <w:t>)).</w:t>
      </w:r>
      <w:del w:id="53" w:author="Unknown Author" w:date="2023-03-24T17:33:18Z">
        <w:r>
          <w:rPr/>
          <w:commentReference w:id="22"/>
        </w:r>
      </w:del>
      <w:r>
        <w:rPr/>
      </w:r>
      <w:commentRangeEnd w:id="21"/>
      <w:r>
        <w:commentReference w:id="21"/>
      </w:r>
      <w:r>
        <w:rPr/>
        <w:t xml:space="preserve"> </w:t>
      </w:r>
      <w:commentRangeStart w:id="23"/>
      <w:r>
        <w:rPr/>
        <w:t xml:space="preserve">The assessment of the plant species compositions from pollen is a desirable approach, with several potential applications, despite numerous potential complications (Pornon </w:t>
      </w:r>
      <w:r>
        <w:rPr>
          <w:i/>
          <w:iCs/>
        </w:rPr>
        <w:t>et al.</w:t>
      </w:r>
      <w:r>
        <w:rPr/>
        <w:t xml:space="preserve"> (</w:t>
      </w:r>
      <w:hyperlink w:anchor="ref-pornon2017dna">
        <w:r>
          <w:rPr>
            <w:rStyle w:val="InternetLink"/>
          </w:rPr>
          <w:t>2017</w:t>
        </w:r>
      </w:hyperlink>
      <w:r>
        <w:rPr/>
        <w:t xml:space="preserve">), Bell </w:t>
      </w:r>
      <w:r>
        <w:rPr>
          <w:i/>
          <w:iCs/>
        </w:rPr>
        <w:t>et al.</w:t>
      </w:r>
      <w:r>
        <w:rPr/>
        <w:t xml:space="preserve"> (</w:t>
      </w:r>
      <w:hyperlink w:anchor="ref-bell2017applying">
        <w:r>
          <w:rPr>
            <w:rStyle w:val="InternetLink"/>
          </w:rPr>
          <w:t>2017</w:t>
        </w:r>
      </w:hyperlink>
      <w:r>
        <w:rPr/>
        <w:t xml:space="preserve">), Sickel </w:t>
      </w:r>
      <w:r>
        <w:rPr>
          <w:i/>
          <w:iCs/>
        </w:rPr>
        <w:t>et al.</w:t>
      </w:r>
      <w:r>
        <w:rPr/>
        <w:t xml:space="preserve"> (</w:t>
      </w:r>
      <w:hyperlink w:anchor="ref-sickel2015increased">
        <w:r>
          <w:rPr>
            <w:rStyle w:val="InternetLink"/>
          </w:rPr>
          <w:t>2015</w:t>
        </w:r>
      </w:hyperlink>
      <w:r>
        <w:rPr/>
        <w:t xml:space="preserve">), Bell </w:t>
      </w:r>
      <w:r>
        <w:rPr>
          <w:i/>
          <w:iCs/>
        </w:rPr>
        <w:t>et al.</w:t>
      </w:r>
      <w:r>
        <w:rPr/>
        <w:t xml:space="preserve"> (</w:t>
      </w:r>
      <w:hyperlink w:anchor="ref-bell2019quantitative">
        <w:r>
          <w:rPr>
            <w:rStyle w:val="InternetLink"/>
          </w:rPr>
          <w:t>2019</w:t>
        </w:r>
      </w:hyperlink>
      <w:r>
        <w:rPr/>
        <w:t xml:space="preserve">), Suchan </w:t>
      </w:r>
      <w:r>
        <w:rPr>
          <w:i/>
          <w:iCs/>
        </w:rPr>
        <w:t>et al.</w:t>
      </w:r>
      <w:r>
        <w:rPr/>
        <w:t xml:space="preserve"> (</w:t>
      </w:r>
      <w:hyperlink w:anchor="ref-suchan2019pollen">
        <w:r>
          <w:rPr>
            <w:rStyle w:val="InternetLink"/>
          </w:rPr>
          <w:t>2019</w:t>
        </w:r>
      </w:hyperlink>
      <w:r>
        <w:rPr/>
        <w:t xml:space="preserve">), Johnson </w:t>
      </w:r>
      <w:r>
        <w:rPr>
          <w:i/>
          <w:iCs/>
        </w:rPr>
        <w:t>et al.</w:t>
      </w:r>
      <w:r>
        <w:rPr/>
        <w:t xml:space="preserve"> (</w:t>
      </w:r>
      <w:hyperlink w:anchor="ref-johnson2021airborne">
        <w:r>
          <w:rPr>
            <w:rStyle w:val="InternetLink"/>
          </w:rPr>
          <w:t>2021</w:t>
        </w:r>
      </w:hyperlink>
      <w:r>
        <w:rPr/>
        <w:t xml:space="preserve">)). The two foraging phases of the queen bumblebee life cycle are essential to </w:t>
      </w:r>
      <w:ins w:id="54" w:author="Jane Ogilvie" w:date="2023-02-26T16:27:00Z">
        <w:r>
          <w:rPr/>
          <w:t>(</w:t>
        </w:r>
      </w:ins>
      <w:r>
        <w:rPr/>
        <w:t xml:space="preserve">1) increase their weight before diapause, and </w:t>
      </w:r>
      <w:ins w:id="55" w:author="Jane Ogilvie" w:date="2023-02-26T16:27:00Z">
        <w:r>
          <w:rPr/>
          <w:t>(</w:t>
        </w:r>
      </w:ins>
      <w:r>
        <w:rPr/>
        <w:t xml:space="preserve">2) increase their ovary weights while establishing their recently found nests. Both time periods represent potential demographic bottlenecks in bumble bee populations (Sarro </w:t>
      </w:r>
      <w:r>
        <w:rPr>
          <w:i/>
          <w:iCs/>
        </w:rPr>
        <w:t>et al.</w:t>
      </w:r>
      <w:r>
        <w:rPr/>
        <w:t xml:space="preserve"> (</w:t>
      </w:r>
      <w:hyperlink w:anchor="ref-sarro2022bumble">
        <w:r>
          <w:rPr>
            <w:rStyle w:val="InternetLink"/>
          </w:rPr>
          <w:t>2022</w:t>
        </w:r>
      </w:hyperlink>
      <w:r>
        <w:rPr/>
        <w:t xml:space="preserve">), …). </w:t>
      </w:r>
      <w:r>
        <w:rPr/>
      </w:r>
      <w:commentRangeEnd w:id="23"/>
      <w:r>
        <w:commentReference w:id="23"/>
      </w:r>
      <w:r>
        <w:rPr/>
        <w:t>Bumble</w:t>
      </w:r>
      <w:ins w:id="56" w:author="Jane Ogilvie" w:date="2023-02-26T16:27:00Z">
        <w:r>
          <w:rPr/>
          <w:t xml:space="preserve"> </w:t>
        </w:r>
      </w:ins>
      <w:r>
        <w:rPr/>
        <w:t>bees are one of the only groups of insects with unequivocal quantitative evidence for numerous population declines, while simultaneously serving as the most effective pollinators in many temperate montane ecosystems (Cameron &amp; Sadd (</w:t>
      </w:r>
      <w:hyperlink w:anchor="ref-cameron2020global">
        <w:r>
          <w:rPr>
            <w:rStyle w:val="InternetLink"/>
          </w:rPr>
          <w:t>2020</w:t>
        </w:r>
      </w:hyperlink>
      <w:r>
        <w:rPr/>
        <w:t xml:space="preserve">), Goulson </w:t>
      </w:r>
      <w:r>
        <w:rPr>
          <w:i/>
          <w:iCs/>
        </w:rPr>
        <w:t>et al.</w:t>
      </w:r>
      <w:r>
        <w:rPr/>
        <w:t xml:space="preserve"> (</w:t>
      </w:r>
      <w:hyperlink w:anchor="ref-goulson2008decline">
        <w:r>
          <w:rPr>
            <w:rStyle w:val="InternetLink"/>
          </w:rPr>
          <w:t>2008</w:t>
        </w:r>
      </w:hyperlink>
      <w:r>
        <w:rPr/>
        <w:t>), Williams (</w:t>
      </w:r>
      <w:hyperlink w:anchor="ref-williams1982distribution">
        <w:r>
          <w:rPr>
            <w:rStyle w:val="InternetLink"/>
          </w:rPr>
          <w:t>1982</w:t>
        </w:r>
      </w:hyperlink>
      <w:r>
        <w:rPr/>
        <w:t xml:space="preserve">), Colla </w:t>
      </w:r>
      <w:r>
        <w:rPr>
          <w:i/>
          <w:iCs/>
        </w:rPr>
        <w:t>et al.</w:t>
      </w:r>
      <w:r>
        <w:rPr/>
        <w:t xml:space="preserve"> (</w:t>
      </w:r>
      <w:hyperlink w:anchor="ref-colla2012assessing">
        <w:r>
          <w:rPr>
            <w:rStyle w:val="InternetLink"/>
          </w:rPr>
          <w:t>2012</w:t>
        </w:r>
      </w:hyperlink>
      <w:r>
        <w:rPr/>
        <w:t xml:space="preserve">), Bergman </w:t>
      </w:r>
      <w:r>
        <w:rPr>
          <w:i/>
          <w:iCs/>
        </w:rPr>
        <w:t>et al.</w:t>
      </w:r>
      <w:r>
        <w:rPr/>
        <w:t xml:space="preserve"> (</w:t>
      </w:r>
      <w:hyperlink w:anchor="ref-bergman1996micrometeorological">
        <w:r>
          <w:rPr>
            <w:rStyle w:val="InternetLink"/>
          </w:rPr>
          <w:t>1996</w:t>
        </w:r>
      </w:hyperlink>
      <w:r>
        <w:rPr/>
        <w:t>), Bingham &amp; Orthner (</w:t>
      </w:r>
      <w:hyperlink w:anchor="ref-bingham1998efficient">
        <w:r>
          <w:rPr>
            <w:rStyle w:val="InternetLink"/>
          </w:rPr>
          <w:t>1998</w:t>
        </w:r>
      </w:hyperlink>
      <w:r>
        <w:rPr/>
        <w:t xml:space="preserve">), Grixti </w:t>
      </w:r>
      <w:r>
        <w:rPr>
          <w:i/>
          <w:iCs/>
        </w:rPr>
        <w:t>et al.</w:t>
      </w:r>
      <w:r>
        <w:rPr/>
        <w:t xml:space="preserve"> (</w:t>
      </w:r>
      <w:hyperlink w:anchor="ref-grixti2009decline">
        <w:r>
          <w:rPr>
            <w:rStyle w:val="InternetLink"/>
          </w:rPr>
          <w:t>2009</w:t>
        </w:r>
      </w:hyperlink>
      <w:r>
        <w:rPr/>
        <w:t xml:space="preserve">)). </w:t>
      </w:r>
      <w:commentRangeStart w:id="24"/>
      <w:commentRangeStart w:id="25"/>
      <w:r>
        <w:rPr/>
        <w:t xml:space="preserve">These areas often represent the most </w:t>
      </w:r>
      <w:ins w:id="57" w:author="Jane Ogilvie" w:date="2023-02-26T16:28:00Z">
        <w:r>
          <w:rPr/>
          <w:t>bio</w:t>
        </w:r>
      </w:ins>
      <w:r>
        <w:rPr/>
        <w:t xml:space="preserve">diverse areas in the temperate </w:t>
      </w:r>
      <w:ins w:id="58" w:author="Jane Ogilvie" w:date="2023-02-26T16:28:00Z">
        <w:r>
          <w:rPr/>
          <w:t xml:space="preserve">zone </w:t>
        </w:r>
      </w:ins>
      <w:r>
        <w:rPr/>
        <w:t xml:space="preserve">and often offer the sole potential refugia for </w:t>
      </w:r>
      <w:del w:id="59" w:author="Jane Ogilvie" w:date="2023-03-01T21:07:00Z">
        <w:r>
          <w:rPr/>
          <w:delText>multiple dimensions of biodiversity</w:delText>
        </w:r>
      </w:del>
      <w:ins w:id="60" w:author="Jane Ogilvie" w:date="2023-03-01T21:07:00Z">
        <w:r>
          <w:rPr/>
          <w:t>many species</w:t>
        </w:r>
      </w:ins>
      <w:r>
        <w:rPr/>
        <w:t xml:space="preserve"> under climate change, whilst simultaneously experiencing the greatest proportional changes in mean annual temperature (Brito-Morales </w:t>
      </w:r>
      <w:r>
        <w:rPr>
          <w:i/>
          <w:iCs/>
        </w:rPr>
        <w:t>et al.</w:t>
      </w:r>
      <w:r>
        <w:rPr/>
        <w:t xml:space="preserve"> (</w:t>
      </w:r>
      <w:hyperlink w:anchor="ref-brito2018climate">
        <w:r>
          <w:rPr>
            <w:rStyle w:val="InternetLink"/>
          </w:rPr>
          <w:t>2018</w:t>
        </w:r>
      </w:hyperlink>
      <w:r>
        <w:rPr/>
        <w:t xml:space="preserve">), Pepin </w:t>
      </w:r>
      <w:r>
        <w:rPr>
          <w:i/>
          <w:iCs/>
        </w:rPr>
        <w:t>et al.</w:t>
      </w:r>
      <w:r>
        <w:rPr/>
        <w:t xml:space="preserve"> (</w:t>
      </w:r>
      <w:hyperlink w:anchor="ref-pepin2022climate">
        <w:r>
          <w:rPr>
            <w:rStyle w:val="InternetLink"/>
          </w:rPr>
          <w:t>2022</w:t>
        </w:r>
      </w:hyperlink>
      <w:r>
        <w:rPr/>
        <w:t xml:space="preserve">)). </w:t>
      </w:r>
      <w:r>
        <w:rPr/>
      </w:r>
      <w:commentRangeEnd w:id="25"/>
      <w:r>
        <w:commentReference w:id="25"/>
      </w:r>
      <w:r>
        <w:rPr/>
      </w:r>
      <w:commentRangeEnd w:id="24"/>
      <w:r>
        <w:commentReference w:id="24"/>
      </w:r>
      <w:r>
        <w:rPr/>
        <w:t xml:space="preserve">An immediate understanding of how to manage previously overlooked keystone insect species, such as bumble bees, is essential if the refugial potential of the temperate mountains are to be incorporated into their current diversity (Loarie </w:t>
      </w:r>
      <w:r>
        <w:rPr>
          <w:i/>
          <w:iCs/>
        </w:rPr>
        <w:t>et al.</w:t>
      </w:r>
      <w:r>
        <w:rPr/>
        <w:t xml:space="preserve"> (</w:t>
      </w:r>
      <w:hyperlink w:anchor="ref-loarie2009velocity">
        <w:r>
          <w:rPr>
            <w:rStyle w:val="InternetLink"/>
          </w:rPr>
          <w:t>2009</w:t>
        </w:r>
      </w:hyperlink>
      <w:r>
        <w:rPr/>
        <w:t>), Dobrowski &amp; Parks (</w:t>
      </w:r>
      <w:hyperlink w:anchor="ref-dobrowski2016climate">
        <w:r>
          <w:rPr>
            <w:rStyle w:val="InternetLink"/>
          </w:rPr>
          <w:t>2016</w:t>
        </w:r>
      </w:hyperlink>
      <w:r>
        <w:rPr/>
        <w:t>)</w:t>
      </w:r>
      <w:bookmarkEnd w:id="0"/>
      <w:r>
        <w:rPr/>
        <w:t>).</w:t>
      </w:r>
    </w:p>
    <w:p>
      <w:pPr>
        <w:pStyle w:val="Heading1"/>
        <w:rPr/>
      </w:pPr>
      <w:r>
        <w:rPr/>
        <w:t xml:space="preserve">2 | </w:t>
      </w:r>
      <w:commentRangeStart w:id="26"/>
      <w:r>
        <w:rPr/>
        <w:t>METHODS</w:t>
      </w:r>
      <w:commentRangeEnd w:id="26"/>
      <w:r>
        <w:commentReference w:id="26"/>
      </w:r>
      <w:r>
        <w:rPr/>
      </w:r>
    </w:p>
    <w:p>
      <w:pPr>
        <w:pStyle w:val="Heading2"/>
        <w:rPr/>
      </w:pPr>
      <w:bookmarkStart w:id="1" w:name="study-system-field-work"/>
      <w:r>
        <w:rPr/>
        <w:t xml:space="preserve">2.1 Case Study: </w:t>
      </w:r>
      <w:del w:id="61" w:author="Unknown Author" w:date="2023-03-01T20:20:37Z">
        <w:r>
          <w:rPr/>
          <w:commentReference w:id="27"/>
        </w:r>
      </w:del>
      <w:r>
        <w:rPr/>
        <w:t>Bee-Flower Observations and Pollen Load Collection</w:t>
      </w:r>
    </w:p>
    <w:p>
      <w:pPr>
        <w:pStyle w:val="FirstParagraph"/>
        <w:rPr/>
      </w:pPr>
      <w:r>
        <w:rPr/>
        <w:t xml:space="preserve">Bee and flower observations and bee corbiculae pollen collection was conducted around the Rocky Mountain Biological Laboratory (RMBL; 38°57.5” N, 106°59.3” W (WGS 84), 2900 m.a.s.l.), Colorado, USA (APPENDIX 1 for site information). The area is characterized by subalpine meadow vegetation communities. Pollinator observations of </w:t>
      </w:r>
      <w:r>
        <w:rPr>
          <w:i/>
          <w:iCs/>
        </w:rPr>
        <w:t>Bombus</w:t>
      </w:r>
      <w:r>
        <w:rPr/>
        <w:t xml:space="preserve"> Latreille spp. (Apidae Latreille) were conducted from May 29</w:t>
      </w:r>
      <w:r>
        <w:rPr>
          <w:vertAlign w:val="superscript"/>
        </w:rPr>
        <w:t>th</w:t>
      </w:r>
      <w:r>
        <w:rPr/>
        <w:t xml:space="preserve"> – July 23</w:t>
      </w:r>
      <w:r>
        <w:rPr>
          <w:vertAlign w:val="superscript"/>
        </w:rPr>
        <w:t>rd</w:t>
      </w:r>
      <w:r>
        <w:rPr/>
        <w:t xml:space="preserve"> of 2015 in six study sites as a part of a larger study (described in Ogilvie and CaraDonna 2022</w:t>
      </w:r>
      <w:del w:id="62" w:author="Unknown Author" w:date="2023-03-01T20:20:26Z">
        <w:r>
          <w:rPr/>
          <w:commentReference w:id="28"/>
        </w:r>
      </w:del>
      <w:r>
        <w:rPr/>
        <w:t xml:space="preserve">). Observations of </w:t>
      </w:r>
      <w:r>
        <w:rPr>
          <w:i/>
          <w:iCs/>
        </w:rPr>
        <w:t>Bombus</w:t>
      </w:r>
      <w:r>
        <w:rPr/>
        <w:t xml:space="preserve"> foraging took place for one hour at each field site, with equal time spent searching for bee in the major vegetation types (dry, and wet meadows, and aspen forest). Corbiculae pollens loads were, non-lethally, collected from queens encountered by capturing them in an insect net and transferring them into a restraining device (“bee squeezer”, Kearns and Thomson 2001</w:t>
      </w:r>
      <w:del w:id="63" w:author="Unknown Author" w:date="2023-03-24T17:34:39Z">
        <w:r>
          <w:rPr/>
          <w:commentReference w:id="29"/>
        </w:r>
      </w:del>
      <w:r>
        <w:rPr/>
        <w:t>). We then collected a single pollen load (i.e., from one leg) from the bee and then released it. At weekly intervals at each site, we also recorded the abundances of flowers visited by bumble bees within belt transects spread over the three vegetation types (0.5 x 40 m transects in each vegetation type, 60 m</w:t>
      </w:r>
      <w:r>
        <w:rPr>
          <w:vertAlign w:val="superscript"/>
        </w:rPr>
        <w:t>2</w:t>
      </w:r>
      <w:r>
        <w:rPr/>
        <w:t xml:space="preserve"> total area per site).</w:t>
      </w:r>
      <w:bookmarkEnd w:id="1"/>
      <w:r>
        <w:rPr/>
        <w:t xml:space="preserve"> </w:t>
      </w:r>
    </w:p>
    <w:p>
      <w:pPr>
        <w:pStyle w:val="Heading2"/>
        <w:rPr/>
      </w:pPr>
      <w:bookmarkStart w:id="2" w:name="floral-visitation"/>
      <w:r>
        <w:rPr/>
        <w:t>2.2 | Floral Visitation</w:t>
      </w:r>
    </w:p>
    <w:p>
      <w:pPr>
        <w:pStyle w:val="FirstParagraph"/>
        <w:rPr/>
      </w:pPr>
      <w:r>
        <w:rPr>
          <w:i/>
          <w:iCs/>
        </w:rPr>
        <w:t xml:space="preserve">… </w:t>
      </w:r>
      <w:r>
        <w:rPr>
          <w:i/>
          <w:iCs/>
        </w:rPr>
        <w:t>does this need more info and warrant a section independent of the above</w:t>
      </w:r>
      <w:del w:id="64" w:author="Unknown Author" w:date="2023-03-01T20:20:55Z">
        <w:bookmarkEnd w:id="2"/>
        <w:r>
          <w:rPr>
            <w:i/>
            <w:iCs/>
          </w:rPr>
          <w:commentReference w:id="30"/>
        </w:r>
      </w:del>
      <w:r>
        <w:rPr>
          <w:i/>
          <w:iCs/>
        </w:rPr>
        <w:t>?</w:t>
      </w:r>
    </w:p>
    <w:p>
      <w:pPr>
        <w:pStyle w:val="Heading2"/>
        <w:rPr/>
      </w:pPr>
      <w:r>
        <w:rPr/>
        <w:t>2.3 | Pollen Morphological identification</w:t>
      </w:r>
    </w:p>
    <w:p>
      <w:pPr>
        <w:pStyle w:val="Heading3"/>
        <w:rPr/>
      </w:pPr>
      <w:bookmarkStart w:id="3" w:name="pollen-reference-library"/>
      <w:r>
        <w:rPr/>
        <w:t>2.3.1 | Pollen Reference Library</w:t>
      </w:r>
    </w:p>
    <w:p>
      <w:pPr>
        <w:pStyle w:val="FirstParagraph"/>
        <w:rPr/>
      </w:pPr>
      <w:r>
        <w:rPr/>
        <w:t>To develop a reference library of pollen grains which may be present in corbiculae loads, an image reference collection of fuchsin-jelly stained (Beattie (</w:t>
      </w:r>
      <w:hyperlink w:anchor="ref-beattie1971technique">
        <w:r>
          <w:rPr>
            <w:rStyle w:val="InternetLink"/>
          </w:rPr>
          <w:t>1971</w:t>
        </w:r>
      </w:hyperlink>
      <w:r>
        <w:rPr/>
        <w:t>)) slides was assembled from slides previously prepared by the authors (n = 21), and other researchers (n = 38) (Brosi &amp; Briggs (</w:t>
      </w:r>
      <w:hyperlink w:anchor="ref-brosi2013single">
        <w:r>
          <w:rPr>
            <w:rStyle w:val="InternetLink"/>
          </w:rPr>
          <w:t>2013</w:t>
        </w:r>
      </w:hyperlink>
      <w:r>
        <w:rPr/>
        <w:t xml:space="preserve">)). Using five years of observational data on </w:t>
      </w:r>
      <w:r>
        <w:rPr>
          <w:i/>
          <w:iCs/>
        </w:rPr>
        <w:t>Bombus</w:t>
      </w:r>
      <w:r>
        <w:rPr/>
        <w:t xml:space="preserve"> Queen Bee foraging at these studies sites (Ogilvie unpublished), as well as the Vascular Plant Checklist (Frase &amp; Buck (</w:t>
      </w:r>
      <w:hyperlink w:anchor="ref-fraser2007vpc">
        <w:r>
          <w:rPr>
            <w:rStyle w:val="InternetLink"/>
          </w:rPr>
          <w:t>2007</w:t>
        </w:r>
      </w:hyperlink>
      <w:r>
        <w:rPr/>
        <w:t>)), an additional 62 voucher slides for species were prepared and imaged at 400x (Leica DMLB, Leica MC170 HD Camera, Leica Application Suite V. 4.13.0) from non-accessioned herbarium collections to supplement the number of species and clades covered (Appendix 3).</w:t>
        <w:br/>
      </w:r>
    </w:p>
    <w:p>
      <w:pPr>
        <w:pStyle w:val="FirstParagraph"/>
        <w:rPr/>
      </w:pPr>
      <w:r>
        <w:rPr/>
        <w:t xml:space="preserve">We used Divisive Hierarchical Clustering </w:t>
      </w:r>
      <w:del w:id="65" w:author="Unknown Author" w:date="2023-03-24T17:35:50Z">
        <w:r>
          <w:rPr/>
          <w:commentReference w:id="31"/>
        </w:r>
      </w:del>
      <w:r>
        <w:rPr/>
        <w:t xml:space="preserve">techniques to determine which plant taxa were distinguishable via light microscopy, and to develop a dichotomous key to pollen morphotypes. Ten readily discernible categorical traits were collected from each specimen in the image collection. These traits were transformed using Gower distances, and clustered using Divisive Hierarchical clustering techniques (Maechler </w:t>
      </w:r>
      <w:r>
        <w:rPr>
          <w:i/>
          <w:iCs/>
        </w:rPr>
        <w:t>et al.</w:t>
      </w:r>
      <w:r>
        <w:rPr/>
        <w:t xml:space="preserve"> (</w:t>
      </w:r>
      <w:hyperlink w:anchor="ref-cluster2022">
        <w:r>
          <w:rPr>
            <w:rStyle w:val="InternetLink"/>
          </w:rPr>
          <w:t>2022</w:t>
        </w:r>
      </w:hyperlink>
      <w:r>
        <w:rPr/>
        <w:t>)). Using the cluster dendrogram, elbow plot, and heatmaps (Hennig (</w:t>
      </w:r>
      <w:hyperlink w:anchor="ref-fpc2022">
        <w:r>
          <w:rPr>
            <w:rStyle w:val="InternetLink"/>
          </w:rPr>
          <w:t>2020</w:t>
        </w:r>
      </w:hyperlink>
      <w:r>
        <w:rPr/>
        <w:t>)), of these results</w:t>
      </w:r>
      <w:ins w:id="66" w:author="Jane Ogilvie" w:date="2023-03-01T22:03:00Z">
        <w:r>
          <w:rPr/>
          <w:t>,</w:t>
        </w:r>
      </w:ins>
      <w:r>
        <w:rPr/>
        <w:t xml:space="preserve"> morphological groups of pollen which could not be resolved via microscopy were delineated, and a dichotomous key was prepared (APPENDIX NO.). This key was then used to identify the pollen grains sampled from corbiculae loads to morphotypes in a consistent manne</w:t>
      </w:r>
      <w:bookmarkEnd w:id="3"/>
      <w:r>
        <w:rPr/>
        <w:t>r.</w:t>
      </w:r>
    </w:p>
    <w:p>
      <w:pPr>
        <w:pStyle w:val="Heading3"/>
        <w:rPr/>
      </w:pPr>
      <w:bookmarkStart w:id="4" w:name="pollen-corbiculae-loads"/>
      <w:r>
        <w:rPr/>
        <w:t>2.3.2 | Pollen Corbiculae Loads</w:t>
      </w:r>
    </w:p>
    <w:p>
      <w:pPr>
        <w:pStyle w:val="FirstParagraph"/>
        <w:rPr/>
      </w:pPr>
      <w:r>
        <w:rPr/>
        <w:t xml:space="preserve">To prepare the pollen slides from corbiculae, all corbiculae loads were broken apart and rolled using dissection needlepoints to increase heterogeneity of samples. </w:t>
      </w:r>
      <w:r>
        <w:rPr>
          <w:i/>
          <w:iCs/>
        </w:rPr>
        <w:t>Cerca</w:t>
      </w:r>
      <w:r>
        <w:rPr/>
        <w:t xml:space="preserve"> 0.5</w:t>
      </w:r>
      <w:ins w:id="67" w:author="Jane Ogilvie" w:date="2023-03-01T22:07:00Z">
        <w:r>
          <w:rPr/>
          <w:t xml:space="preserve"> </w:t>
        </w:r>
      </w:ins>
      <w:r>
        <w:rPr/>
        <w:t>mm</w:t>
      </w:r>
      <w:r>
        <w:rPr>
          <w:vertAlign w:val="superscript"/>
        </w:rPr>
        <w:t>2</w:t>
      </w:r>
      <w:r>
        <w:rPr/>
        <w:t xml:space="preserve"> of pollen was placed onto a ~4</w:t>
      </w:r>
      <w:ins w:id="68" w:author="Jane Ogilvie" w:date="2023-03-01T22:07:00Z">
        <w:r>
          <w:rPr/>
          <w:t xml:space="preserve"> </w:t>
        </w:r>
      </w:ins>
      <w:r>
        <w:rPr/>
        <w:t>mm</w:t>
      </w:r>
      <w:r>
        <w:rPr>
          <w:vertAlign w:val="superscript"/>
        </w:rPr>
        <w:t>2</w:t>
      </w:r>
      <w:r>
        <w:rPr/>
        <w:t xml:space="preserve"> fuchsin jelly cube (Beattie (</w:t>
      </w:r>
      <w:hyperlink w:anchor="ref-beattie1971technique">
        <w:r>
          <w:rPr>
            <w:rStyle w:val="InternetLink"/>
          </w:rPr>
          <w:t>1971</w:t>
        </w:r>
      </w:hyperlink>
      <w:r>
        <w:rPr/>
        <w:t>)) atop a graticulated microscope slide, with 20 transects and 20 rows (400 quadrants) (EMS, Hartfield, PA). The jelly was melted, with stirring, until pollen grains were homogeneously spread across the microscope slide. Slides were sealed with Canada Balsam (Rublev Colours, Willits, CA) followed by sealing with clear</w:t>
      </w:r>
      <w:ins w:id="69" w:author="Jane Ogilvie" w:date="2023-03-01T22:08:00Z">
        <w:r>
          <w:rPr/>
          <w:t xml:space="preserve"> </w:t>
        </w:r>
      </w:ins>
      <w:r>
        <w:rPr/>
        <w:t xml:space="preserve">nail polish to prevent oxidation; all samples are noted in </w:t>
      </w:r>
      <w:r>
        <w:rPr>
          <w:i/>
          <w:iCs/>
        </w:rPr>
        <w:t>APPENDIX 3</w:t>
      </w:r>
      <w:r>
        <w:rPr/>
        <w:t xml:space="preserve">. To identify the pollen present in corbiculae loads, light microscopy at 400x (Zeiss Axioscope A1) was used. In initial sampling in three transects, each pollen grain was identified to morphotype and counted; an additional two transects were scanned for morphotypes unique to that slide, if either transect contained a unique morphotype than all grains in that transect were also identified and counted. Subsequent to the first round of sampling, non-parametric species richness rarefaction curves (Oksanen </w:t>
      </w:r>
      <w:r>
        <w:rPr>
          <w:i/>
          <w:iCs/>
        </w:rPr>
        <w:t>et al.</w:t>
      </w:r>
      <w:r>
        <w:rPr/>
        <w:t xml:space="preserve"> (</w:t>
      </w:r>
      <w:hyperlink w:anchor="ref-vegans2022">
        <w:r>
          <w:rPr>
            <w:rStyle w:val="InternetLink"/>
          </w:rPr>
          <w:t>2022</w:t>
        </w:r>
      </w:hyperlink>
      <w:r>
        <w:rPr/>
        <w:t xml:space="preserve">)), and non-parametric species diversity rarefaction curves were used to assess the completeness of sampling (Chao </w:t>
      </w:r>
      <w:r>
        <w:rPr>
          <w:i/>
          <w:iCs/>
        </w:rPr>
        <w:t>et al.</w:t>
      </w:r>
      <w:r>
        <w:rPr/>
        <w:t xml:space="preserve"> (</w:t>
      </w:r>
      <w:hyperlink w:anchor="ref-inextArticle">
        <w:r>
          <w:rPr>
            <w:rStyle w:val="InternetLink"/>
          </w:rPr>
          <w:t>2014</w:t>
        </w:r>
      </w:hyperlink>
      <w:r>
        <w:rPr/>
        <w:t xml:space="preserve">), Hsieh </w:t>
      </w:r>
      <w:r>
        <w:rPr>
          <w:i/>
          <w:iCs/>
        </w:rPr>
        <w:t>et al.</w:t>
      </w:r>
      <w:r>
        <w:rPr/>
        <w:t xml:space="preserve"> (</w:t>
      </w:r>
      <w:hyperlink w:anchor="ref-inextPackage">
        <w:r>
          <w:rPr>
            <w:rStyle w:val="InternetLink"/>
          </w:rPr>
          <w:t>2020</w:t>
        </w:r>
      </w:hyperlink>
      <w:r>
        <w:rPr/>
        <w:t xml:space="preserve">)). Slides not approaching the asymptote of the rarefaction curve were then re-sampled, and analysed iteratively for up to a total of seven transects </w:t>
      </w:r>
      <w:r>
        <w:rPr>
          <w:i/>
          <w:iCs/>
        </w:rPr>
        <w:t>APPENDIX 2</w:t>
      </w:r>
      <w:r>
        <w:rPr/>
        <w:t>.</w:t>
      </w:r>
      <w:bookmarkEnd w:id="4"/>
    </w:p>
    <w:p>
      <w:pPr>
        <w:pStyle w:val="Heading3"/>
        <w:rPr/>
      </w:pPr>
      <w:bookmarkStart w:id="5" w:name="molecular-barcoding"/>
      <w:r>
        <w:rPr/>
        <w:t>2.4 | Molecular Barcoding</w:t>
      </w:r>
    </w:p>
    <w:p>
      <w:pPr>
        <w:pStyle w:val="Heading4"/>
        <w:rPr/>
      </w:pPr>
      <w:bookmarkStart w:id="6" w:name="species-reference-list"/>
      <w:r>
        <w:rPr/>
        <w:t>2.4.1 | Species reference list</w:t>
      </w:r>
      <w:bookmarkEnd w:id="6"/>
    </w:p>
    <w:p>
      <w:pPr>
        <w:pStyle w:val="Heading4"/>
        <w:rPr/>
      </w:pPr>
      <w:r>
        <w:rPr/>
        <w:t>2.4.1.1 Spatial Analyses</w:t>
      </w:r>
    </w:p>
    <w:p>
      <w:pPr>
        <w:pStyle w:val="FirstParagraph"/>
        <w:rPr/>
      </w:pPr>
      <w:r>
        <w:rPr/>
        <w:t>We first generated a short list of potential candidate species. We downloaded from the Botanical Information and Ecology Network ‘BIEN’ (Maitner (</w:t>
      </w:r>
      <w:hyperlink w:anchor="ref-bien2022">
        <w:r>
          <w:rPr>
            <w:rStyle w:val="InternetLink"/>
          </w:rPr>
          <w:t>2022</w:t>
        </w:r>
      </w:hyperlink>
      <w:r>
        <w:rPr/>
        <w:t>)) all records adjacent to the field sites to develop an ecologically relevant list of vascular plant species, with expected biotic pollination, which may be present at the study area. To reduce the list of species to include in the genomic sequence databases, we then generated species distribution models (SDMs) for these taxa to predict their distribution throughout the study area.</w:t>
      </w:r>
    </w:p>
    <w:p>
      <w:pPr>
        <w:pStyle w:val="TextBody"/>
        <w:rPr/>
      </w:pPr>
      <w:bookmarkStart w:id="7" w:name="spatial-analyses"/>
      <w:r>
        <w:rPr/>
        <w:t>To minimize the number of species for which SDM’s were to be generated, BIEN was queried at a distance of up to 100</w:t>
      </w:r>
      <w:ins w:id="70" w:author="Jane Ogilvie" w:date="2023-03-01T22:12:00Z">
        <w:r>
          <w:rPr/>
          <w:t xml:space="preserve"> </w:t>
        </w:r>
      </w:ins>
      <w:r>
        <w:rPr/>
        <w:t xml:space="preserve">km from our study area and all plant species records were downloaded. To account for the stochasticity of botanical collecting and offset the number of records associated with the research station, this data set was bootstrap re-sampled 250 times, with 90% of samples selected, to create a testing data set. </w:t>
      </w:r>
      <w:commentRangeStart w:id="32"/>
      <w:r>
        <w:rPr/>
        <w:t>The median of the logistic regression assessing the probability of occurrence of a species record as a function of distance from the study area was used as a threshold distance, under which, to include species as candidates for distribution modelling.</w:t>
      </w:r>
      <w:bookmarkEnd w:id="7"/>
      <w:commentRangeEnd w:id="32"/>
      <w:r>
        <w:commentReference w:id="32"/>
      </w:r>
      <w:r>
        <w:rPr/>
      </w:r>
    </w:p>
    <w:p>
      <w:pPr>
        <w:pStyle w:val="Heading4"/>
        <w:rPr/>
      </w:pPr>
      <w:bookmarkStart w:id="8" w:name="distribution-modelling"/>
      <w:r>
        <w:rPr/>
        <w:t>2.4.1.2 Distribution Modelling</w:t>
      </w:r>
    </w:p>
    <w:p>
      <w:pPr>
        <w:pStyle w:val="FirstParagraph"/>
        <w:rPr/>
      </w:pPr>
      <w:commentRangeStart w:id="33"/>
      <w:r>
        <w:rPr/>
        <w:t xml:space="preserve">We </w:t>
      </w:r>
      <w:r>
        <w:rPr/>
      </w:r>
      <w:commentRangeEnd w:id="33"/>
      <w:r>
        <w:commentReference w:id="33"/>
      </w:r>
      <w:r>
        <w:rPr/>
        <w:t>used all occurrence records from BIEN (n = 23,919) within a 50</w:t>
      </w:r>
      <w:ins w:id="71" w:author="Jane Ogilvie" w:date="2023-03-01T22:14:00Z">
        <w:r>
          <w:rPr/>
          <w:t xml:space="preserve"> </w:t>
        </w:r>
      </w:ins>
      <w:r>
        <w:rPr/>
        <w:t xml:space="preserve">km border of the Omernik level 3 ecoregion, which includes the study area </w:t>
      </w:r>
      <w:r>
        <w:rPr>
          <w:i/>
          <w:iCs/>
        </w:rPr>
        <w:t>(No. 21 “Southern Rockies”)</w:t>
      </w:r>
      <w:r>
        <w:rPr/>
        <w:t xml:space="preserve"> to construct the species distribution model (Omernik (</w:t>
      </w:r>
      <w:hyperlink w:anchor="ref-omernik1987ecoregions">
        <w:r>
          <w:rPr>
            <w:rStyle w:val="InternetLink"/>
          </w:rPr>
          <w:t>1987</w:t>
        </w:r>
      </w:hyperlink>
      <w:r>
        <w:rPr/>
        <w:t xml:space="preserve">)). These records were copied into two, initially identical, sets, one for generating machine learning models (ML; Random Forest, and Boosted Regression Tree’s), and the other for Generalised Linear (GLM) and Generalized Additive Models (GAM) (Barbet-Massin </w:t>
      </w:r>
      <w:r>
        <w:rPr>
          <w:i/>
          <w:iCs/>
        </w:rPr>
        <w:t>et al.</w:t>
      </w:r>
      <w:r>
        <w:rPr/>
        <w:t xml:space="preserve"> (</w:t>
      </w:r>
      <w:hyperlink w:anchor="ref-barbet2012selecting">
        <w:r>
          <w:rPr>
            <w:rStyle w:val="InternetLink"/>
          </w:rPr>
          <w:t>2012</w:t>
        </w:r>
      </w:hyperlink>
      <w:r>
        <w:rPr/>
        <w:t>)). Ensembled predictions have been shown to outperform their constituent models, on average, and to reduce the ecological signal to the analytical noise of individual runs (Araujo &amp; New (</w:t>
      </w:r>
      <w:hyperlink w:anchor="ref-araujo2007ensemble">
        <w:r>
          <w:rPr>
            <w:rStyle w:val="InternetLink"/>
          </w:rPr>
          <w:t>2007</w:t>
        </w:r>
      </w:hyperlink>
      <w:r>
        <w:rPr/>
        <w:t xml:space="preserve">)). No single method of producing SDMs has been shown to universally outperform others when faced with a large and diverse number of applications, in our case a great number of species with different biology and ecology (Elith* </w:t>
      </w:r>
      <w:r>
        <w:rPr>
          <w:i/>
          <w:iCs/>
        </w:rPr>
        <w:t>et al.</w:t>
      </w:r>
      <w:r>
        <w:rPr/>
        <w:t xml:space="preserve"> (</w:t>
      </w:r>
      <w:hyperlink w:anchor="ref-elith2006novel">
        <w:r>
          <w:rPr>
            <w:rStyle w:val="InternetLink"/>
          </w:rPr>
          <w:t>2006</w:t>
        </w:r>
      </w:hyperlink>
      <w:r>
        <w:rPr/>
        <w:t xml:space="preserve">), Qiao </w:t>
      </w:r>
      <w:r>
        <w:rPr>
          <w:i/>
          <w:iCs/>
        </w:rPr>
        <w:t>et al.</w:t>
      </w:r>
      <w:r>
        <w:rPr/>
        <w:t xml:space="preserve"> (</w:t>
      </w:r>
      <w:hyperlink w:anchor="ref-qiao2015no">
        <w:r>
          <w:rPr>
            <w:rStyle w:val="InternetLink"/>
          </w:rPr>
          <w:t>2015</w:t>
        </w:r>
      </w:hyperlink>
      <w:r>
        <w:rPr/>
        <w:t xml:space="preserve">)). In the spirit of these findings, multiple families of models, which can be generated together as they have similar requirements regarding the number and ratios of Presence to Absence records were ensembled together (Barbet-Massin </w:t>
      </w:r>
      <w:r>
        <w:rPr>
          <w:i/>
          <w:iCs/>
        </w:rPr>
        <w:t>et al.</w:t>
      </w:r>
      <w:r>
        <w:rPr/>
        <w:t xml:space="preserve"> (</w:t>
      </w:r>
      <w:hyperlink w:anchor="ref-barbet2012selecting">
        <w:r>
          <w:rPr>
            <w:rStyle w:val="InternetLink"/>
          </w:rPr>
          <w:t>2012</w:t>
        </w:r>
      </w:hyperlink>
      <w:r>
        <w:rPr/>
        <w:t>)).</w:t>
      </w:r>
    </w:p>
    <w:p>
      <w:pPr>
        <w:pStyle w:val="TextBody"/>
        <w:rPr/>
      </w:pPr>
      <w:r>
        <w:rPr/>
        <w:t>We then generated 4,029 absence points, locations where the focal taxon is anticipated missing, through a random stratification of 19% of the land cover in the area and included them in (Land Management (</w:t>
      </w:r>
      <w:hyperlink w:anchor="ref-aim2019database">
        <w:r>
          <w:rPr>
            <w:rStyle w:val="InternetLink"/>
          </w:rPr>
          <w:t>2019</w:t>
        </w:r>
      </w:hyperlink>
      <w:r>
        <w:rPr/>
        <w:t>)). To achieve a larger absence data set, we generated 1,000 pseudo-absence records for each taxon by randomly selecting coordinates located at least 10</w:t>
      </w:r>
      <w:ins w:id="72" w:author="Jane Ogilvie" w:date="2023-03-01T22:16:00Z">
        <w:r>
          <w:rPr/>
          <w:t xml:space="preserve"> </w:t>
        </w:r>
      </w:ins>
      <w:r>
        <w:rPr/>
        <w:t xml:space="preserve">km away from an occurrence record. For ML models, these pseudo-absences were reduced so that the ratio of presence to absence records were balanced (Barbet-Massin </w:t>
      </w:r>
      <w:r>
        <w:rPr>
          <w:i/>
          <w:iCs/>
        </w:rPr>
        <w:t>et al.</w:t>
      </w:r>
      <w:r>
        <w:rPr/>
        <w:t xml:space="preserve"> (</w:t>
      </w:r>
      <w:hyperlink w:anchor="ref-barbet2012selecting">
        <w:r>
          <w:rPr>
            <w:rStyle w:val="InternetLink"/>
          </w:rPr>
          <w:t>2012</w:t>
        </w:r>
      </w:hyperlink>
      <w:r>
        <w:rPr/>
        <w:t>)). To achieve this, we removed absence records inside of 10% of the mean sample value of any predictor variable the presence records; the required number of absence records were then randomly sampled.</w:t>
      </w:r>
    </w:p>
    <w:p>
      <w:pPr>
        <w:pStyle w:val="TextBody"/>
        <w:rPr/>
      </w:pPr>
      <w:r>
        <w:rPr/>
        <w:t>To predict the potential distribution of each species we used 26 environmental variables at 30m resolution, six related to climate, five soil, four topographic, four related to cloud cover, with the remaining reflecting assorted abiotic parameters (Wilson &amp; Jetz (</w:t>
      </w:r>
      <w:hyperlink w:anchor="ref-wilson2016remotely">
        <w:r>
          <w:rPr>
            <w:rStyle w:val="InternetLink"/>
          </w:rPr>
          <w:t>2016</w:t>
        </w:r>
      </w:hyperlink>
      <w:r>
        <w:rPr/>
        <w:t xml:space="preserve">), Wang </w:t>
      </w:r>
      <w:r>
        <w:rPr>
          <w:i/>
          <w:iCs/>
        </w:rPr>
        <w:t>et al.</w:t>
      </w:r>
      <w:r>
        <w:rPr/>
        <w:t xml:space="preserve"> (</w:t>
      </w:r>
      <w:hyperlink w:anchor="ref-wang2016locally">
        <w:r>
          <w:rPr>
            <w:rStyle w:val="InternetLink"/>
          </w:rPr>
          <w:t>2016</w:t>
        </w:r>
      </w:hyperlink>
      <w:r>
        <w:rPr/>
        <w:t xml:space="preserve">), Hengl </w:t>
      </w:r>
      <w:r>
        <w:rPr>
          <w:i/>
          <w:iCs/>
        </w:rPr>
        <w:t>et al.</w:t>
      </w:r>
      <w:r>
        <w:rPr/>
        <w:t xml:space="preserve"> (</w:t>
      </w:r>
      <w:hyperlink w:anchor="ref-hengl2017soilgrids250m">
        <w:r>
          <w:rPr>
            <w:rStyle w:val="InternetLink"/>
          </w:rPr>
          <w:t>2017</w:t>
        </w:r>
      </w:hyperlink>
      <w:r>
        <w:rPr/>
        <w:t xml:space="preserve">), Robinson </w:t>
      </w:r>
      <w:r>
        <w:rPr>
          <w:i/>
          <w:iCs/>
        </w:rPr>
        <w:t>et al.</w:t>
      </w:r>
      <w:r>
        <w:rPr/>
        <w:t xml:space="preserve"> (</w:t>
      </w:r>
      <w:hyperlink w:anchor="ref-robinson2014earthenv">
        <w:r>
          <w:rPr>
            <w:rStyle w:val="InternetLink"/>
          </w:rPr>
          <w:t>2014</w:t>
        </w:r>
      </w:hyperlink>
      <w:r>
        <w:rPr/>
        <w:t>)) (</w:t>
      </w:r>
      <w:r>
        <w:rPr>
          <w:i/>
          <w:iCs/>
        </w:rPr>
        <w:t>APPENDIX 6</w:t>
      </w:r>
      <w:r>
        <w:rPr/>
        <w:t xml:space="preserve">). </w:t>
      </w:r>
      <w:r>
        <w:rPr>
          <w:b/>
          <w:bCs/>
        </w:rPr>
        <w:t>These publicly available data sets, were selected as they …</w:t>
      </w:r>
      <w:r>
        <w:rPr/>
        <w:t xml:space="preserve"> . For linear regression models these predictors underwent both </w:t>
      </w:r>
      <w:r>
        <w:rPr>
          <w:i/>
          <w:iCs/>
        </w:rPr>
        <w:t>vifstep</w:t>
      </w:r>
      <w:r>
        <w:rPr/>
        <w:t xml:space="preserve"> (theta = 10, max observations = 12,500) and </w:t>
      </w:r>
      <w:r>
        <w:rPr>
          <w:i/>
          <w:iCs/>
        </w:rPr>
        <w:t>vifcor</w:t>
      </w:r>
      <w:r>
        <w:rPr/>
        <w:t xml:space="preserve"> (theta = 0.7, max observations = 12,500) to detect highly correlated variables, and collinear features were removed leaving 16 variables (Naimi </w:t>
      </w:r>
      <w:r>
        <w:rPr>
          <w:i/>
          <w:iCs/>
        </w:rPr>
        <w:t>et al.</w:t>
      </w:r>
      <w:r>
        <w:rPr/>
        <w:t xml:space="preserve"> (</w:t>
      </w:r>
      <w:hyperlink w:anchor="ref-usdm2014">
        <w:r>
          <w:rPr>
            <w:rStyle w:val="InternetLink"/>
          </w:rPr>
          <w:t>2014</w:t>
        </w:r>
      </w:hyperlink>
      <w:r>
        <w:rPr/>
        <w:t>)).</w:t>
      </w:r>
    </w:p>
    <w:p>
      <w:pPr>
        <w:pStyle w:val="TextBody"/>
        <w:rPr/>
      </w:pPr>
      <w:r>
        <w:rPr/>
        <w:t>Modelling: Random Forest and Boosted Regression Trees, were sub sampled with 30% test and two replicates each before weighted ensemble based on True Skill Statistics (tss) (Naimi &amp; Araujo (</w:t>
      </w:r>
      <w:hyperlink w:anchor="ref-sdmPackage">
        <w:r>
          <w:rPr>
            <w:rStyle w:val="InternetLink"/>
          </w:rPr>
          <w:t>2016</w:t>
        </w:r>
      </w:hyperlink>
      <w:r>
        <w:rPr/>
        <w:t>)). Generalised linear models (GLM) and Generalised additive models (GAM) with 30% sub sampling and three replicates each were also ensembled using the tss (Naimi &amp; Araujo (</w:t>
      </w:r>
      <w:hyperlink w:anchor="ref-sdmPackage">
        <w:r>
          <w:rPr>
            <w:rStyle w:val="InternetLink"/>
          </w:rPr>
          <w:t>2016</w:t>
        </w:r>
      </w:hyperlink>
      <w:r>
        <w:rPr/>
        <w:t xml:space="preserve">), @). TSS was chosen as the ensemble criterion as it has been shown to work across a wide range of species occurrences prevalence (Allouche </w:t>
      </w:r>
      <w:r>
        <w:rPr>
          <w:i/>
          <w:iCs/>
        </w:rPr>
        <w:t>et al.</w:t>
      </w:r>
      <w:r>
        <w:rPr/>
        <w:t xml:space="preserve"> (</w:t>
      </w:r>
      <w:hyperlink w:anchor="ref-allouche2006assessing">
        <w:r>
          <w:rPr>
            <w:rStyle w:val="InternetLink"/>
          </w:rPr>
          <w:t>2006</w:t>
        </w:r>
      </w:hyperlink>
      <w:r>
        <w:rPr/>
        <w:t>)). The results of these models were extracted on a cell-by-cell basis to a polygon feature derived from a minimum-spanning tree which encompasses the study sites, and species from either ensemble with greater than 50% mean habitat suitability across all cells were considered present for further purposes (Prim (</w:t>
      </w:r>
      <w:hyperlink w:anchor="ref-prim1957minimum">
        <w:r>
          <w:rPr>
            <w:rStyle w:val="InternetLink"/>
          </w:rPr>
          <w:t>1957</w:t>
        </w:r>
      </w:hyperlink>
      <w:r>
        <w:rPr/>
        <w:t>)).</w:t>
      </w:r>
    </w:p>
    <w:p>
      <w:pPr>
        <w:pStyle w:val="TextBody"/>
        <w:rPr/>
      </w:pPr>
      <w:r>
        <w:rPr/>
        <w:t>A total of 535 species were modelled using Generalized Linear Models and Generalized Additive Models and 534 species were modelled using Random Forest and Boosted Regression Trees. To evaluate the accuracy of the species distribution models, additional presence records from GBIF (n = 61,789), and AIM (n = 12,730) were used as test and training sets (n = 74,519) for logistic regression (Occdownload Gbif.Org (</w:t>
      </w:r>
      <w:hyperlink w:anchor="ref-gbifDL2021sdms">
        <w:r>
          <w:rPr>
            <w:rStyle w:val="InternetLink"/>
          </w:rPr>
          <w:t>2021</w:t>
        </w:r>
      </w:hyperlink>
      <w:r>
        <w:rPr/>
        <w:t>), Land Management (</w:t>
      </w:r>
      <w:hyperlink w:anchor="ref-aim2019database">
        <w:r>
          <w:rPr>
            <w:rStyle w:val="InternetLink"/>
          </w:rPr>
          <w:t>2019</w:t>
        </w:r>
      </w:hyperlink>
      <w:r>
        <w:rPr/>
        <w:t xml:space="preserve">)). Additional novel absence records were generated from the AIM data set to create a data set where each species has balanced presence and absences. Eleven or more paired presence and absence records were required for this testing, resulting in 334 species being included in the logistic regression (Mdn = 110.0, </w:t>
      </w:r>
      <w:r>
        <w:rPr/>
      </w:r>
      <m:oMath xmlns:m="http://schemas.openxmlformats.org/officeDocument/2006/math">
        <m:acc>
          <m:accPr>
            <m:chr m:val="´"/>
          </m:accPr>
          <m:e>
            <m:r>
              <w:rPr>
                <w:rFonts w:ascii="Cambria Math" w:hAnsi="Cambria Math"/>
              </w:rPr>
              <m:t xml:space="preserve">x</m:t>
            </m:r>
          </m:e>
        </m:acc>
      </m:oMath>
      <w:r>
        <w:rPr/>
        <w:t xml:space="preserve"> = 223.1, max = 1568 record pairs used) with a 70% test split (Kuhn (</w:t>
      </w:r>
      <w:hyperlink w:anchor="ref-caret">
        <w:r>
          <w:rPr>
            <w:rStyle w:val="InternetLink"/>
          </w:rPr>
          <w:t>2022</w:t>
        </w:r>
      </w:hyperlink>
      <w:r>
        <w:rPr/>
        <w:t>)).</w:t>
      </w:r>
      <w:bookmarkEnd w:id="5"/>
      <w:bookmarkEnd w:id="8"/>
    </w:p>
    <w:p>
      <w:pPr>
        <w:pStyle w:val="Heading3"/>
        <w:rPr/>
      </w:pPr>
      <w:bookmarkStart w:id="9" w:name="temporal-analyses"/>
      <w:r>
        <w:rPr/>
        <w:t>2.4.2 | Temporal Analyses</w:t>
      </w:r>
    </w:p>
    <w:p>
      <w:pPr>
        <w:pStyle w:val="FirstParagraph"/>
        <w:rPr/>
      </w:pPr>
      <w:r>
        <w:rPr/>
        <w:t xml:space="preserve">To estimate the duration of dates in which plant species were </w:t>
      </w:r>
      <w:del w:id="73" w:author="Unknown Author" w:date="2023-03-24T17:36:25Z">
        <w:r>
          <w:rPr/>
          <w:commentReference w:id="34"/>
        </w:r>
      </w:del>
      <w:r>
        <w:rPr/>
        <w:t xml:space="preserve">flowering Weibull estimates of several phenological parameters all spatially modelled taxa were developed (Belitz </w:t>
      </w:r>
      <w:r>
        <w:rPr>
          <w:i/>
          <w:iCs/>
        </w:rPr>
        <w:t>et al.</w:t>
      </w:r>
      <w:r>
        <w:rPr/>
        <w:t xml:space="preserve"> (</w:t>
      </w:r>
      <w:hyperlink w:anchor="ref-belitz2020accuracy">
        <w:r>
          <w:rPr>
            <w:rStyle w:val="InternetLink"/>
          </w:rPr>
          <w:t>2020</w:t>
        </w:r>
      </w:hyperlink>
      <w:r>
        <w:rPr/>
        <w:t xml:space="preserve">), Pearse </w:t>
      </w:r>
      <w:r>
        <w:rPr>
          <w:i/>
          <w:iCs/>
        </w:rPr>
        <w:t>et al.</w:t>
      </w:r>
      <w:r>
        <w:rPr/>
        <w:t xml:space="preserve"> (</w:t>
      </w:r>
      <w:hyperlink w:anchor="ref-pearse2017statistical">
        <w:r>
          <w:rPr>
            <w:rStyle w:val="InternetLink"/>
          </w:rPr>
          <w:t>2017</w:t>
        </w:r>
      </w:hyperlink>
      <w:r>
        <w:rPr/>
        <w:t>)). Only BIEN records which occurred in the Omernik Level 4 Ecoregions within 15</w:t>
      </w:r>
      <w:ins w:id="74" w:author="Jane Ogilvie" w:date="2023-03-01T22:20:00Z">
        <w:r>
          <w:rPr/>
          <w:t xml:space="preserve"> </w:t>
        </w:r>
      </w:ins>
      <w:r>
        <w:rPr/>
        <w:t>km of the study area (n = 5 Level 4 Ecoregions, or conditionally 6 ecoregions if enough records were not found in the nearest 5), and which were from herbarium records were included. To remove temporally irrelevant herbarium records, i.e.</w:t>
      </w:r>
      <w:ins w:id="75" w:author="Jane Ogilvie" w:date="2023-03-01T22:21:00Z">
        <w:r>
          <w:rPr/>
          <w:t>,</w:t>
        </w:r>
      </w:ins>
      <w:r>
        <w:rPr/>
        <w:t xml:space="preserve"> material collected during times which flowering is impossible at the study area due to snow cover, we used the SnowUS data set (Iler </w:t>
      </w:r>
      <w:r>
        <w:rPr>
          <w:i/>
          <w:iCs/>
        </w:rPr>
        <w:t>et al.</w:t>
      </w:r>
      <w:r>
        <w:rPr/>
        <w:t xml:space="preserve"> (</w:t>
      </w:r>
      <w:hyperlink w:anchor="ref-iler2021conceptual">
        <w:r>
          <w:rPr>
            <w:rStyle w:val="InternetLink"/>
          </w:rPr>
          <w:t>2021</w:t>
        </w:r>
      </w:hyperlink>
      <w:r>
        <w:rPr/>
        <w:t xml:space="preserve">), Tran </w:t>
      </w:r>
      <w:r>
        <w:rPr>
          <w:i/>
          <w:iCs/>
        </w:rPr>
        <w:t>et al.</w:t>
      </w:r>
      <w:r>
        <w:rPr/>
        <w:t xml:space="preserve"> (</w:t>
      </w:r>
      <w:hyperlink w:anchor="ref-tran2019cloud">
        <w:r>
          <w:rPr>
            <w:rStyle w:val="InternetLink"/>
          </w:rPr>
          <w:t>2019</w:t>
        </w:r>
      </w:hyperlink>
      <w:r>
        <w:rPr/>
        <w:t>)) from 2000-2017 were analyzed for the first three days of contiguous snow absence, and the first three days of contiguous snow cover in fall. Herbarium records after the 3</w:t>
      </w:r>
      <w:r>
        <w:rPr>
          <w:vertAlign w:val="superscript"/>
        </w:rPr>
        <w:t>rd</w:t>
      </w:r>
      <w:r>
        <w:rPr/>
        <w:t xml:space="preserve"> quantile for melt, and the 1</w:t>
      </w:r>
      <w:r>
        <w:rPr>
          <w:vertAlign w:val="superscript"/>
        </w:rPr>
        <w:t>st</w:t>
      </w:r>
      <w:r>
        <w:rPr/>
        <w:t xml:space="preserve"> quantile for snow cover of these metrics were removed. Species with &gt; 10 records had their Weibull distributions generated for the date when 10% of individuals had begun flowering, when 50% were flowering, and when 90% of individuals had flowered, we used the initiation and cessation dates, respectively, as effective start and ends of flowering. These estimates were compared to ground</w:t>
      </w:r>
      <w:ins w:id="76" w:author="Jane Ogilvie" w:date="2023-03-01T22:23:00Z">
        <w:r>
          <w:rPr/>
          <w:t xml:space="preserve"> </w:t>
        </w:r>
      </w:ins>
      <w:r>
        <w:rPr/>
        <w:t>truthed data from a long-term observational study of flowering phenology</w:t>
      </w:r>
      <w:ins w:id="77" w:author="Jane Ogilvie" w:date="2023-03-01T22:24:00Z">
        <w:r>
          <w:rPr/>
          <w:t xml:space="preserve"> </w:t>
        </w:r>
      </w:ins>
      <w:r>
        <w:rPr/>
        <w:t>1974-2012 (CaraDonna et al. 2014), and the floral abundance data from 2015, using Kendall’s ta</w:t>
      </w:r>
      <w:bookmarkEnd w:id="9"/>
      <w:r>
        <w:rPr/>
        <w:t>u.</w:t>
      </w:r>
    </w:p>
    <w:p>
      <w:pPr>
        <w:pStyle w:val="Heading3"/>
        <w:rPr/>
      </w:pPr>
      <w:r>
        <w:rPr/>
        <w:t>2.5.2 | Barcode references library</w:t>
      </w:r>
    </w:p>
    <w:p>
      <w:pPr>
        <w:pStyle w:val="FirstParagraph"/>
        <w:rPr/>
      </w:pPr>
      <w:r>
        <w:rPr/>
        <w:t>All lab work was carried out at The Daniel F. and Ada L. Rice Plant Conservation Science Center at the Chicago Botanic Garden, Glencoe, Illinois, U.S.A.</w:t>
      </w:r>
    </w:p>
    <w:p>
      <w:pPr>
        <w:pStyle w:val="Heading4"/>
        <w:rPr/>
      </w:pPr>
      <w:bookmarkStart w:id="10" w:name="sampling-species-for-barcoding"/>
      <w:r>
        <w:rPr/>
        <w:t>2.5.2.1 | Sampling Species for Barcoding</w:t>
      </w:r>
    </w:p>
    <w:p>
      <w:pPr>
        <w:pStyle w:val="FirstParagraph"/>
        <w:rPr/>
      </w:pPr>
      <w:r>
        <w:rPr/>
        <w:t xml:space="preserve">Using five years (2015-2020) of observational data on </w:t>
      </w:r>
      <w:r>
        <w:rPr>
          <w:i/>
          <w:iCs/>
        </w:rPr>
        <w:t>Bombus</w:t>
      </w:r>
      <w:r>
        <w:rPr/>
        <w:t xml:space="preserve"> queen bee foraging at these studies sites, we identified the plant taxa most frequently visited by queens across all years. We sequenced the 12 most visited taxa twice using samples collected from one site within the Gunnison Basin River Drainage and one individual collected from another more distal population. In addition</w:t>
      </w:r>
      <w:ins w:id="78" w:author="Jane Ogilvie" w:date="2023-03-01T22:27:00Z">
        <w:r>
          <w:rPr/>
          <w:t>,</w:t>
        </w:r>
      </w:ins>
      <w:r>
        <w:rPr/>
        <w:t xml:space="preserve"> we included a congener - or a species from a closely related genus to serve as an outgroup for all 12 taxa. We also sequenced another 15 taxa commonly visited by </w:t>
      </w:r>
      <w:r>
        <w:rPr>
          <w:i/>
          <w:iCs/>
        </w:rPr>
        <w:t>Bombus</w:t>
      </w:r>
      <w:r>
        <w:rPr/>
        <w:t xml:space="preserve"> workers, based on the abundances, and immediate access to plant tissue, in the aforementioned data set (</w:t>
      </w:r>
      <w:r>
        <w:rPr>
          <w:i/>
          <w:iCs/>
        </w:rPr>
        <w:t>APPENDIX 4</w:t>
      </w:r>
      <w:r>
        <w:rPr/>
        <w:t>). Plant collections were identified typically using a combination, of dichotomous keys and primary literature as required (Flora of North America Editorial Committee (</w:t>
      </w:r>
      <w:hyperlink w:anchor="ref-flora1993flora">
        <w:r>
          <w:rPr>
            <w:rStyle w:val="InternetLink"/>
          </w:rPr>
          <w:t>1993+</w:t>
        </w:r>
      </w:hyperlink>
      <w:r>
        <w:rPr/>
        <w:t>), Hitchcock &amp; Cronquist (</w:t>
      </w:r>
      <w:hyperlink w:anchor="ref-hitchcock2018flora">
        <w:r>
          <w:rPr>
            <w:rStyle w:val="InternetLink"/>
          </w:rPr>
          <w:t>2018</w:t>
        </w:r>
      </w:hyperlink>
      <w:r>
        <w:rPr/>
        <w:t>), Ackerfield (</w:t>
      </w:r>
      <w:hyperlink w:anchor="ref-ackerfield2015flora">
        <w:r>
          <w:rPr>
            <w:rStyle w:val="InternetLink"/>
          </w:rPr>
          <w:t>2015</w:t>
        </w:r>
      </w:hyperlink>
      <w:r>
        <w:rPr/>
        <w:t xml:space="preserve">), Lesica </w:t>
      </w:r>
      <w:r>
        <w:rPr>
          <w:i/>
          <w:iCs/>
        </w:rPr>
        <w:t>et al.</w:t>
      </w:r>
      <w:r>
        <w:rPr/>
        <w:t xml:space="preserve"> (</w:t>
      </w:r>
      <w:hyperlink w:anchor="ref-lesica2012manual">
        <w:r>
          <w:rPr>
            <w:rStyle w:val="InternetLink"/>
          </w:rPr>
          <w:t>2012</w:t>
        </w:r>
      </w:hyperlink>
      <w:r>
        <w:rPr/>
        <w:t xml:space="preserve">), Cronquist </w:t>
      </w:r>
      <w:r>
        <w:rPr>
          <w:i/>
          <w:iCs/>
        </w:rPr>
        <w:t>et al.</w:t>
      </w:r>
      <w:r>
        <w:rPr/>
        <w:t xml:space="preserve"> (</w:t>
      </w:r>
      <w:hyperlink w:anchor="ref-cronquist1977intermountain">
        <w:r>
          <w:rPr>
            <w:rStyle w:val="InternetLink"/>
          </w:rPr>
          <w:t>1977+</w:t>
        </w:r>
      </w:hyperlink>
      <w:r>
        <w:rPr/>
        <w:t>), Allred &amp; Ivey (</w:t>
      </w:r>
      <w:hyperlink w:anchor="ref-allred2012flora">
        <w:r>
          <w:rPr>
            <w:rStyle w:val="InternetLink"/>
          </w:rPr>
          <w:t>2012</w:t>
        </w:r>
      </w:hyperlink>
      <w:r>
        <w:rPr/>
        <w:t xml:space="preserve">), </w:t>
      </w:r>
      <w:r>
        <w:rPr>
          <w:i/>
          <w:iCs/>
        </w:rPr>
        <w:t>Jepson flora project</w:t>
      </w:r>
      <w:r>
        <w:rPr/>
        <w:t xml:space="preserve"> (</w:t>
      </w:r>
      <w:hyperlink w:anchor="ref-jepson2022online">
        <w:r>
          <w:rPr>
            <w:rStyle w:val="InternetLink"/>
          </w:rPr>
          <w:t>2020</w:t>
        </w:r>
      </w:hyperlink>
      <w:r>
        <w:rPr/>
        <w:t>), Mohlenbrock (</w:t>
      </w:r>
      <w:hyperlink w:anchor="ref-mohlenbrock2002vascular">
        <w:r>
          <w:rPr>
            <w:rStyle w:val="InternetLink"/>
          </w:rPr>
          <w:t>2002</w:t>
        </w:r>
      </w:hyperlink>
      <w:r>
        <w:rPr/>
        <w:t>)).</w:t>
      </w:r>
      <w:bookmarkEnd w:id="10"/>
    </w:p>
    <w:p>
      <w:pPr>
        <w:pStyle w:val="Heading4"/>
        <w:rPr/>
      </w:pPr>
      <w:bookmarkStart w:id="11" w:name="plant-genomic-dna-extraction"/>
      <w:r>
        <w:rPr/>
        <w:t>2.5.2.2 | Plant Genomic DNA Extraction</w:t>
      </w:r>
    </w:p>
    <w:p>
      <w:pPr>
        <w:pStyle w:val="FirstParagraph"/>
        <w:rPr/>
      </w:pPr>
      <w:r>
        <w:rPr/>
        <w:t>Plant genomic DNA was isolated from ~ 1 cm</w:t>
      </w:r>
      <w:r>
        <w:rPr>
          <w:vertAlign w:val="superscript"/>
        </w:rPr>
        <w:t>2</w:t>
      </w:r>
      <w:r>
        <w:rPr/>
        <w:t xml:space="preserve"> of leaf tissue from silica-gel dried or herbarium material using a modified cetyltrimethylammonium (CTAB) protocol (Doyle &amp; Doyle (</w:t>
      </w:r>
      <w:hyperlink w:anchor="ref-doylesCTAB">
        <w:r>
          <w:rPr>
            <w:rStyle w:val="InternetLink"/>
          </w:rPr>
          <w:t>1987</w:t>
        </w:r>
      </w:hyperlink>
      <w:r>
        <w:rPr/>
        <w:t>)) that included two chloroform washes. DNA was quantified using a Nanodrop 2000 (Thermo Fisher Scientific, Waltham, Massachusetts, USA) and Qubit fluorometer (Thermo Fisher Scientific).</w:t>
      </w:r>
      <w:bookmarkEnd w:id="11"/>
    </w:p>
    <w:p>
      <w:pPr>
        <w:pStyle w:val="Heading4"/>
        <w:rPr/>
      </w:pPr>
      <w:bookmarkStart w:id="12" w:name="pollen-genomic-dna-extraction"/>
      <w:r>
        <w:rPr/>
        <w:t>2.5.2.3 | Pollen Genomic DNA Extraction</w:t>
      </w:r>
    </w:p>
    <w:p>
      <w:pPr>
        <w:pStyle w:val="FirstParagraph"/>
        <w:rPr/>
      </w:pPr>
      <w:r>
        <w:rPr/>
        <w:t>Pollen genomic DNA was extracted from corbiculae using a CTAB based protocol modified from Lahlamgiahi et al. and Guertler et al. (2014, 2014). A SDS extraction buffer (350µL , 100mM Tris-HCl, 50 mM EDTA, 50 mM NaCl, 10% SDS v/v., pH 7.5) was added followed by vortexing to allow dissolution of corbiculae. Pollen grains were then macerated with Kontes Pellet Pestles, and the tip of these washed with 130 µL of the SDS extraction buffer, samples were then incubated for 1 hour at 30°C. This was followed by the addition of 10% CTAB solution (450ul, of 20 mM Tris-Cl pH. 8.0, 1.4 M NaCl, 10 mM EDTA pH 7.5, 10% CTAB, 5% PVP, ~85% Deionized water) and RNAse (10 uL of 10 mg/mL) and samples were incubated for 40 minutes at 37°C, on a heat block (Multi-Blok, Thermo Fisher Scientific, Waltham Massachusetts) set to 40°C. After 20 minutes incubation, Proteinase K (15 µL of 20mg/ml) and DTT (12.5 µL of 1M in water) were added, and the samples were further incubated at 60°C for 1 hour. Samples were then incubated overnight at 40°C. 500 µL of Phenol-Chloroform-Isoamyl alcohol (25:24:1) were added, vortexed, and centrifuged at 10,000 rpm for 10 minutes and the aqueous phase was pipetted to a 1.5 ml centrifuge tube.</w:t>
      </w:r>
    </w:p>
    <w:p>
      <w:pPr>
        <w:pStyle w:val="TextBody"/>
        <w:rPr/>
      </w:pPr>
      <w:r>
        <w:rPr/>
        <w:t xml:space="preserve">To precipitate the DNA, chilled Isopropyl alcohol &amp; 3 mM Sodium acetate (5:1) equivalent to </w:t>
      </w:r>
      <w:r>
        <w:rPr/>
      </w:r>
      <m:oMath xmlns:m="http://schemas.openxmlformats.org/officeDocument/2006/math">
        <m:f>
          <m:num>
            <m:r>
              <w:rPr>
                <w:rFonts w:ascii="Cambria Math" w:hAnsi="Cambria Math"/>
              </w:rPr>
              <m:t xml:space="preserve">2</m:t>
            </m:r>
          </m:num>
          <m:den>
            <m:r>
              <w:rPr>
                <w:rFonts w:ascii="Cambria Math" w:hAnsi="Cambria Math"/>
              </w:rPr>
              <m:t xml:space="preserve">3</m:t>
            </m:r>
          </m:den>
        </m:f>
      </m:oMath>
      <w:r>
        <w:rPr/>
        <w:t xml:space="preserve"> of the volume of sample were added, with 1 hour of chilling at -20°C, followed by 10 minutes of centrifuging at 13,000 rpm. The supernatant was pipetted to a new 1.5 ml centrifuge tube, and 70% EtOH (400 µL) were added before chilling at -20°C for 20 minutes followed by centrifugation at 13,000 rpm for 10 minutes. Both tubes were then washed with 75% EtOH (400 µL), inverted, centrifuged at 13,000 rpm for 4 minutes, and the solution discarded, then washed with 95% EtOH (400 µL)</w:t>
      </w:r>
      <w:del w:id="79" w:author="Jane Ogilvie" w:date="2023-03-01T22:30:00Z">
        <w:r>
          <w:rPr/>
          <w:delText xml:space="preserve"> </w:delText>
        </w:r>
      </w:del>
      <w:r>
        <w:rPr/>
        <w:t>, inverted, centrifuged at 13,000 rpm for 4 minutes, and the solution discarded. Pellets were dried at room temperature overnight before resuspension in nuclease free H</w:t>
      </w:r>
      <w:r>
        <w:rPr>
          <w:vertAlign w:val="subscript"/>
        </w:rPr>
        <w:t>2</w:t>
      </w:r>
      <w:r>
        <w:rPr/>
        <w:t>O. Extractions were assessed using a Nanodrop 2000 (Thermo Fisher Scientific) and Qubit fluorometer (Thermo Fisher Scientific). DNA extracts were then cleaned using 2:1 v./v. Sera-Mag beads (Cytiva, Little Chalfont, UK) to solute ratio following the manufacturer’s protocol, eluted in 0.5x TE, and the eluent allowed to reduce by half volume in ambient conditions. DNA was quantified using a Qubit fluorometer.</w:t>
      </w:r>
      <w:bookmarkEnd w:id="12"/>
    </w:p>
    <w:p>
      <w:pPr>
        <w:pStyle w:val="Heading4"/>
        <w:rPr/>
      </w:pPr>
      <w:r>
        <w:rPr/>
        <w:t>2.5.2.4 | Fragmentation, Library Preparation</w:t>
      </w:r>
      <w:ins w:id="80" w:author="Jane Ogilvie" w:date="2023-03-01T22:30:00Z">
        <w:r>
          <w:rPr/>
          <w:t>,</w:t>
        </w:r>
      </w:ins>
      <w:r>
        <w:rPr/>
        <w:t xml:space="preserve"> &amp; Target Enrichment</w:t>
      </w:r>
    </w:p>
    <w:p>
      <w:pPr>
        <w:pStyle w:val="FirstParagraph"/>
        <w:rPr/>
      </w:pPr>
      <w:bookmarkStart w:id="13" w:name="barcode-references-library"/>
      <w:bookmarkStart w:id="14" w:name="X9da7fbf07d7975dad4b594549377e03f2b195c7"/>
      <w:r>
        <w:rPr/>
        <w:t>Library preparation was performed using the NEBNext Ultra II FS-DNA Library Prep Kit for Illumina (New England BioLabs, Ipswich, Massachusetts, USA) using slightly modified manufacturers recommendation. Fragmentation was performed at ½ volume of reagents and ¼ enzyme mix for 40 minutes at 37°C, with an input of 500 ng cleaned DNA. Adapter Ligation and PCR enrichment were performed with ½ volumes, while cleanup of products was performed using SPRI beads (Beckman Coulter, Indianapolis, Indiana, USA) and recommended volumes of 80% v./v. ethanol washes. The exception was the herbarium specimens which were not fragmented and only end repaired, with similar library preparation of all samples. Products were analysed on 4% agarose gels, and a Qubit fluorometer. Libraries were pooled and enriched with the Angiosperms 353 probe kit V.4 (Arbor Biosciences myBaits Target Sequence Capture Kit) by following the manufacturer’s protocol and Brewer et al. 2019. Sequencing was performed using an Illumina mi-Seq with 150-bp end reads, (NUSeq Core, Chicago, Illinois).</w:t>
      </w:r>
      <w:bookmarkEnd w:id="13"/>
      <w:bookmarkEnd w:id="14"/>
    </w:p>
    <w:p>
      <w:pPr>
        <w:pStyle w:val="Heading3"/>
        <w:rPr/>
      </w:pPr>
      <w:bookmarkStart w:id="15" w:name="computational-processes-and-analyses."/>
      <w:r>
        <w:rPr/>
        <w:t>2.6 | Computational Processes and Analyses.</w:t>
      </w:r>
    </w:p>
    <w:p>
      <w:pPr>
        <w:pStyle w:val="Heading4"/>
        <w:rPr/>
      </w:pPr>
      <w:bookmarkStart w:id="16" w:name="reference-library-data-processing"/>
      <w:r>
        <w:rPr/>
        <w:t>2.6.1 | Reference Library Data Processing</w:t>
      </w:r>
    </w:p>
    <w:p>
      <w:pPr>
        <w:pStyle w:val="FirstParagraph"/>
        <w:rPr/>
      </w:pPr>
      <w:r>
        <w:rPr/>
        <w:t>Sequences were processed using Trimmomatic, which removed sequence adapters, clipped the first 3 bp, discarding reads less than 36 bp, and removing reads if their average PHRED score dropped beneath 20 over a window of 5 bp (Bolger &amp; Giorgi (</w:t>
      </w:r>
      <w:hyperlink w:anchor="ref-bolger2014trimmomatic">
        <w:r>
          <w:rPr>
            <w:rStyle w:val="InternetLink"/>
          </w:rPr>
          <w:t>2014</w:t>
        </w:r>
      </w:hyperlink>
      <w:r>
        <w:rPr/>
        <w:t>), Tange (</w:t>
      </w:r>
      <w:hyperlink w:anchor="ref-tange_2022_6377950">
        <w:r>
          <w:rPr>
            <w:rStyle w:val="InternetLink"/>
          </w:rPr>
          <w:t>2021</w:t>
        </w:r>
      </w:hyperlink>
      <w:r>
        <w:rPr/>
        <w:t xml:space="preserve">)). Contigs generated were mapped to a reference with HybPiper with using target files created by M353 (Johnson </w:t>
      </w:r>
      <w:r>
        <w:rPr>
          <w:i/>
          <w:iCs/>
        </w:rPr>
        <w:t>et al.</w:t>
      </w:r>
      <w:r>
        <w:rPr/>
        <w:t xml:space="preserve"> (</w:t>
      </w:r>
      <w:hyperlink w:anchor="ref-johnson2016hybpiper">
        <w:r>
          <w:rPr>
            <w:rStyle w:val="InternetLink"/>
          </w:rPr>
          <w:t>2016</w:t>
        </w:r>
      </w:hyperlink>
      <w:r>
        <w:rPr/>
        <w:t xml:space="preserve">), McLay </w:t>
      </w:r>
      <w:r>
        <w:rPr>
          <w:i/>
          <w:iCs/>
        </w:rPr>
        <w:t>et al.</w:t>
      </w:r>
      <w:r>
        <w:rPr/>
        <w:t xml:space="preserve"> (</w:t>
      </w:r>
      <w:hyperlink w:anchor="ref-mclay2021new">
        <w:r>
          <w:rPr>
            <w:rStyle w:val="InternetLink"/>
          </w:rPr>
          <w:t>2021</w:t>
        </w:r>
      </w:hyperlink>
      <w:r>
        <w:rPr/>
        <w:t>)).</w:t>
      </w:r>
      <w:bookmarkEnd w:id="16"/>
    </w:p>
    <w:p>
      <w:pPr>
        <w:pStyle w:val="Heading4"/>
        <w:rPr/>
      </w:pPr>
      <w:bookmarkStart w:id="17" w:name="sequence-identification"/>
      <w:r>
        <w:rPr/>
        <w:t>2.6.2 | Sequence Identification</w:t>
      </w:r>
    </w:p>
    <w:p>
      <w:pPr>
        <w:pStyle w:val="FirstParagraph"/>
        <w:rPr/>
      </w:pPr>
      <w:r>
        <w:rPr/>
        <w:t xml:space="preserve">A custom Kraken2 database was created by downloading representative species indicated as being present in the study area by the spatial analyses from the Sequence Read Archive (SRA) NCBI (Wood </w:t>
      </w:r>
      <w:r>
        <w:rPr>
          <w:i/>
          <w:iCs/>
        </w:rPr>
        <w:t>et al.</w:t>
      </w:r>
      <w:r>
        <w:rPr/>
        <w:t xml:space="preserve"> (</w:t>
      </w:r>
      <w:hyperlink w:anchor="ref-wood2019improved">
        <w:r>
          <w:rPr>
            <w:rStyle w:val="InternetLink"/>
          </w:rPr>
          <w:t>2019</w:t>
        </w:r>
      </w:hyperlink>
      <w:r>
        <w:rPr/>
        <w:t>)). These sequences were processed in the same manner as our novel sequences. The Kraken2 database was built using default parameters. Kraken2 was run on sequences using default parameters (</w:t>
      </w:r>
      <w:r>
        <w:rPr>
          <w:i/>
          <w:iCs/>
        </w:rPr>
        <w:t>APPENDIX 5</w:t>
      </w:r>
      <w:r>
        <w:rPr/>
        <w:t xml:space="preserve">). Following Kraken2, Bracken was used to classify sequences to terminal taxa (Lu </w:t>
      </w:r>
      <w:r>
        <w:rPr>
          <w:i/>
          <w:iCs/>
        </w:rPr>
        <w:t>et al.</w:t>
      </w:r>
      <w:r>
        <w:rPr/>
        <w:t xml:space="preserve"> (</w:t>
      </w:r>
      <w:hyperlink w:anchor="ref-lu2017bracken">
        <w:r>
          <w:rPr>
            <w:rStyle w:val="InternetLink"/>
          </w:rPr>
          <w:t>2017</w:t>
        </w:r>
      </w:hyperlink>
      <w:r>
        <w:rPr/>
        <w:t>)). Results from both Kraken2 and Bracken, results were reclassified manually to identify terminal taxa. For example, when only a single species of a genus was known in the study area, but our database used a representative of another taxon in the genus, this species was coded as the result.</w:t>
      </w:r>
      <w:bookmarkEnd w:id="17"/>
    </w:p>
    <w:p>
      <w:pPr>
        <w:pStyle w:val="Heading4"/>
        <w:rPr/>
      </w:pPr>
      <w:bookmarkStart w:id="18" w:name="identification-of-sequence-matching-loci"/>
      <w:r>
        <w:rPr/>
        <w:t>2.6.3 | Identification of Sequence Matching Loci</w:t>
      </w:r>
    </w:p>
    <w:p>
      <w:pPr>
        <w:pStyle w:val="FirstParagraph"/>
        <w:rPr/>
      </w:pPr>
      <w:r>
        <w:rPr/>
        <w:t xml:space="preserve">A local NCBI database was built using the same processed novel and downloaded sequences as the previous database (Camacho </w:t>
      </w:r>
      <w:r>
        <w:rPr>
          <w:i/>
          <w:iCs/>
        </w:rPr>
        <w:t>et al.</w:t>
      </w:r>
      <w:r>
        <w:rPr/>
        <w:t xml:space="preserve"> (</w:t>
      </w:r>
      <w:hyperlink w:anchor="ref-camacho2009blast">
        <w:r>
          <w:rPr>
            <w:rStyle w:val="InternetLink"/>
          </w:rPr>
          <w:t>2009</w:t>
        </w:r>
      </w:hyperlink>
      <w:r>
        <w:rPr/>
        <w:t>)).</w:t>
      </w:r>
      <w:bookmarkEnd w:id="15"/>
      <w:bookmarkEnd w:id="18"/>
    </w:p>
    <w:p>
      <w:pPr>
        <w:pStyle w:val="Heading3"/>
        <w:rPr/>
      </w:pPr>
      <w:r>
        <w:rPr/>
        <w:t>2.7 | Integrated Observational, Molecular, and Palynological Corbiculae</w:t>
      </w:r>
    </w:p>
    <w:p>
      <w:pPr>
        <w:pStyle w:val="FirstParagraph"/>
        <w:rPr/>
      </w:pPr>
      <w:r>
        <w:rPr/>
        <w:t>To precisely classify the contents of each corbiculae load the sequences classified by molecular methods were compared with the fieldwork which at a very fine resolution, recorded the presence and absence of species and their duration of flowering, and was interpreted ala the computer derived temporal and spatial data sets. The quantitative counts of grains from microscopy, were combined with the semi-quantitative sequencing results, to estimate the abundance of each identified species in each corbiculae load.</w:t>
      </w:r>
    </w:p>
    <w:p>
      <w:pPr>
        <w:pStyle w:val="TextBody"/>
        <w:rPr/>
      </w:pPr>
      <w:bookmarkStart w:id="19" w:name="methods"/>
      <w:bookmarkStart w:id="20" w:name="pollen-morphological-identification"/>
      <w:bookmarkStart w:id="21" w:name="X85509dd71721b56b5889ba24dac2953cf01c862"/>
      <w:r>
        <w:rPr/>
        <w:t>To reclassify the sequence reads, these data were combined with the flora observation data, and mapped by genus. If more than one species in the genus was flowering at that time and site, than the reads were split evenly between the taxa. For sequence data which did not match at the genus level, a user subjectively scored them based on the species composition and phenological activity at each plot, the queen interaction data, and pollen assignments. To estimate the abundance of each of these species in the corbiculae loads, these data were combined with the microscopy data. For each morphotype detected in pollen, and each classified sequence read which was not detected via microscopy, they were given a value of 0.5% to indicate their trace presences. When more than a single species belonged to a morphotype group in a single sample, the quantitative values from the morphological work were multiplied by the relative sequence abundance of each species in the load. All final compositions were standardized to a sum of 100%, by adding or subtracting the differences (induced by classifying records as ‘trace’) to all species with abundances &gt; 1%.</w:t>
      </w:r>
      <w:bookmarkEnd w:id="19"/>
      <w:bookmarkEnd w:id="20"/>
      <w:bookmarkEnd w:id="21"/>
    </w:p>
    <w:p>
      <w:pPr>
        <w:pStyle w:val="Heading1"/>
        <w:rPr/>
      </w:pPr>
      <w:r>
        <w:rPr/>
        <w:t>3 | RESULTS</w:t>
      </w:r>
    </w:p>
    <w:p>
      <w:pPr>
        <w:pStyle w:val="Heading2"/>
        <w:rPr/>
      </w:pPr>
      <w:r>
        <w:rPr/>
        <w:t>3.1 | Floral Observations</w:t>
      </w:r>
    </w:p>
    <w:p>
      <w:pPr>
        <w:pStyle w:val="FirstParagraph"/>
        <w:rPr/>
      </w:pPr>
      <w:r>
        <w:rPr/>
        <w:t xml:space="preserve">The six sites were surveyed once weekly from May 27-July 27 for a total of 52 hours. A total of 723 overwintered </w:t>
      </w:r>
      <w:del w:id="81" w:author="Unknown Author" w:date="2023-03-24T17:37:19Z">
        <w:r>
          <w:rPr/>
          <w:commentReference w:id="35"/>
        </w:r>
      </w:del>
      <w:r>
        <w:rPr/>
        <w:t xml:space="preserve">queen-pollen foraging interactions were observed </w:t>
      </w:r>
      <w:del w:id="82" w:author="Unknown Author" w:date="2023-03-24T17:37:26Z">
        <w:r>
          <w:rPr/>
          <w:commentReference w:id="36"/>
        </w:r>
      </w:del>
      <w:r>
        <w:rPr/>
        <w:t xml:space="preserve">(range per bee species by week range = 1-18, </w:t>
      </w:r>
      <w:r>
        <w:rPr/>
      </w:r>
      <m:oMath xmlns:m="http://schemas.openxmlformats.org/officeDocument/2006/math">
        <m:acc>
          <m:accPr>
            <m:chr m:val="´"/>
          </m:accPr>
          <m:e>
            <m:r>
              <w:rPr>
                <w:rFonts w:ascii="Cambria Math" w:hAnsi="Cambria Math"/>
              </w:rPr>
              <m:t xml:space="preserve">x</m:t>
            </m:r>
          </m:e>
        </m:acc>
      </m:oMath>
      <w:r>
        <w:rPr/>
        <w:t xml:space="preserve"> = 3.46, Mdn = 2), with a range of total observed interactions per bee species across this time period (minimum = 1, </w:t>
      </w:r>
      <w:r>
        <w:rPr/>
      </w:r>
      <m:oMath xmlns:m="http://schemas.openxmlformats.org/officeDocument/2006/math">
        <m:acc>
          <m:accPr>
            <m:chr m:val="´"/>
          </m:accPr>
          <m:e>
            <m:r>
              <w:rPr>
                <w:rFonts w:ascii="Cambria Math" w:hAnsi="Cambria Math"/>
              </w:rPr>
              <m:t xml:space="preserve">x</m:t>
            </m:r>
          </m:e>
        </m:acc>
      </m:oMath>
      <w:r>
        <w:rPr/>
        <w:t xml:space="preserve"> = 59.08, median = 19, max = 184). Plants varied widely in the number of interactions which they partook in with each species of bee (range per plant species by week minimum = 1 - 20, </w:t>
      </w:r>
      <w:r>
        <w:rPr/>
      </w:r>
      <m:oMath xmlns:m="http://schemas.openxmlformats.org/officeDocument/2006/math">
        <m:acc>
          <m:accPr>
            <m:chr m:val="´"/>
          </m:accPr>
          <m:e>
            <m:r>
              <w:rPr>
                <w:rFonts w:ascii="Cambria Math" w:hAnsi="Cambria Math"/>
              </w:rPr>
              <m:t xml:space="preserve">x</m:t>
            </m:r>
          </m:e>
        </m:acc>
      </m:oMath>
      <w:r>
        <w:rPr/>
        <w:t xml:space="preserve"> = 3.51, median = 2), with a range of total observed interactions per plant species over this time period (minimum = 1, </w:t>
      </w:r>
      <w:r>
        <w:rPr/>
      </w:r>
      <m:oMath xmlns:m="http://schemas.openxmlformats.org/officeDocument/2006/math">
        <m:acc>
          <m:accPr>
            <m:chr m:val="´"/>
          </m:accPr>
          <m:e>
            <m:r>
              <w:rPr>
                <w:rFonts w:ascii="Cambria Math" w:hAnsi="Cambria Math"/>
              </w:rPr>
              <m:t xml:space="preserve">x</m:t>
            </m:r>
          </m:e>
        </m:acc>
      </m:oMath>
      <w:r>
        <w:rPr/>
        <w:t xml:space="preserve"> = 20.26, median = 4, max = 141). The number of plant species which bees were observed interacting with varied more narrowly (range = 1 - 18, </w:t>
      </w:r>
      <w:r>
        <w:rPr/>
      </w:r>
      <m:oMath xmlns:m="http://schemas.openxmlformats.org/officeDocument/2006/math">
        <m:acc>
          <m:accPr>
            <m:chr m:val="´"/>
          </m:accPr>
          <m:e>
            <m:r>
              <w:rPr>
                <w:rFonts w:ascii="Cambria Math" w:hAnsi="Cambria Math"/>
              </w:rPr>
              <m:t xml:space="preserve">x</m:t>
            </m:r>
          </m:e>
        </m:acc>
      </m:oMath>
      <w:r>
        <w:rPr/>
        <w:t xml:space="preserve"> = 8, median = 6), interactions were observed with a total of 36 plant species.</w:t>
      </w:r>
    </w:p>
    <w:p>
      <w:pPr>
        <w:pStyle w:val="TextBody"/>
        <w:rPr/>
      </w:pPr>
      <w:r>
        <w:rPr/>
        <w:t>A total of 66 corbiculae loads were collected from bees, 64 of them from queens.</w:t>
      </w:r>
    </w:p>
    <w:p>
      <w:pPr>
        <w:pStyle w:val="CaptionedFigure"/>
        <w:rPr/>
      </w:pPr>
      <w:r>
        <w:rPr/>
        <w:drawing>
          <wp:inline distT="0" distB="0" distL="0" distR="0">
            <wp:extent cx="4620260" cy="3696335"/>
            <wp:effectExtent l="0" t="0" r="0" b="0"/>
            <wp:docPr id="1" name="Picture" descr="Number of the ten most commonly visited plants which are also in the top ten most common sequen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descr="Number of the ten most commonly visited plants which are also in the top ten most common sequences"/>
                    <pic:cNvPicPr>
                      <a:picLocks noChangeAspect="1" noChangeArrowheads="1"/>
                    </pic:cNvPicPr>
                  </pic:nvPicPr>
                  <pic:blipFill>
                    <a:blip r:embed="rId2"/>
                    <a:stretch>
                      <a:fillRect/>
                    </a:stretch>
                  </pic:blipFill>
                  <pic:spPr bwMode="auto">
                    <a:xfrm>
                      <a:off x="0" y="0"/>
                      <a:ext cx="4620260" cy="3696335"/>
                    </a:xfrm>
                    <a:prstGeom prst="rect">
                      <a:avLst/>
                    </a:prstGeom>
                  </pic:spPr>
                </pic:pic>
              </a:graphicData>
            </a:graphic>
          </wp:inline>
        </w:drawing>
      </w:r>
    </w:p>
    <w:p>
      <w:pPr>
        <w:pStyle w:val="ImageCaption"/>
        <w:rPr/>
      </w:pPr>
      <w:ins w:id="83" w:author="Jane Ogilvie" w:date="2023-03-02T10:09:00Z">
        <w:bookmarkStart w:id="22" w:name="floral-observations"/>
        <w:r>
          <w:rPr/>
          <w:t xml:space="preserve">Figure 1. </w:t>
        </w:r>
      </w:ins>
      <w:r>
        <w:rPr/>
        <w:t>Number of the ten most commonly visited plants which are also in the top ten most common sequences</w:t>
      </w:r>
      <w:ins w:id="84" w:author="Jane Ogilvie" w:date="2023-03-02T10:10:00Z">
        <w:bookmarkEnd w:id="22"/>
        <w:r>
          <w:rPr/>
          <w:t>.</w:t>
        </w:r>
      </w:ins>
    </w:p>
    <w:p>
      <w:pPr>
        <w:pStyle w:val="Heading2"/>
        <w:rPr/>
      </w:pPr>
      <w:r>
        <w:rPr/>
        <w:t>3.1 | Spatial Analyses</w:t>
      </w:r>
    </w:p>
    <w:p>
      <w:pPr>
        <w:pStyle w:val="TextBody"/>
        <w:rPr/>
      </w:pPr>
      <w:r>
        <w:rPr/>
        <w:t>The median (25.009 km) of the logistic regression assessing the probability of occurrence of a species record as a function of distance from the study area was used as a threshold distance to include species for distribution modelling. A 2-sample test for equality of proportions with continuity correction (X-squared = 13.254, df = 1, p-value = 0.000136, 95% CI 0.04-1.00) was used to test whether more of the records located in the broad ecological sites present at the field station, between the distance of the median (25.009 km) to the third quantile (ca 43.830 km) of the regression distance, were true presences at the field station. Includin</w:t>
      </w:r>
      <w:del w:id="85" w:author="Jane Ogilvie" w:date="2023-03-01T22:44:00Z">
        <w:r>
          <w:rPr/>
          <w:delText>f</w:delText>
        </w:r>
      </w:del>
      <w:r>
        <w:rPr/>
        <w:t>g these records would have resulted in modelling an additional 222 species distributions of which 30 are true presences, these taxa were not modelled.</w:t>
      </w:r>
    </w:p>
    <w:p>
      <w:pPr>
        <w:pStyle w:val="TextBody"/>
        <w:rPr/>
      </w:pPr>
      <w:r>
        <w:rPr/>
        <w:t>Across the entire spatial domain of modelling all ensembled models (n = 968) had an accuracy of 0.84 (95% CI 0.8356 - 0.8443), kappa = 0.68, p-value &lt; 0.001, sensitivity = 0.80, specificity = 0.87, AUC = 0.92.</w:t>
      </w:r>
    </w:p>
    <w:p>
      <w:pPr>
        <w:pStyle w:val="TextBody"/>
        <w:rPr/>
      </w:pPr>
      <w:r>
        <w:rPr/>
        <w:t>In the area of the minimum-spanning tree encompassing the field sites, of the 554 vascular plants with biotic pollination syndromes, the 493 ML ensembles accurately predicted the presence of 362 (65.3%), incorrectly predicted the presence of 64 (11.6%), incorrectly predicted 34 true presences (6.1%) as being absent, and correctly predicted the true absence of 33 (6.0%). The balanced accuracy of the ensembled models is 0.627 (Sensitivity = 0.340, Specificity 0.914). Of the 554 vascular plants with biotic pollination syndromes, the 475 LM ensembles accurately predicted the presence of 286 (51.6%), incorrectly predicted the presence of 41 (14.3%), incorrectly predicted 93 true presences (16.8%) as being absent, and correctly predicted the true absence of 55 (9.9%). The balanced accuracy of the ensembled models is 0.664 (Sensitivity = 0.573, Specificity 0.754). Of the 554 vascular plants with biotic pollination syndromes in the flora 13 (2.3%) were in the Orchid family and 41 (7.4%) are non-natives, both of which are restricted from the database, and can only reduce the number of true predicted presences by roughly 10%.</w:t>
      </w:r>
    </w:p>
    <w:p>
      <w:pPr>
        <w:pStyle w:val="TextBody"/>
        <w:rPr/>
      </w:pPr>
      <w:bookmarkStart w:id="23" w:name="spatial-analyses-1"/>
      <w:r>
        <w:rPr/>
        <w:t>At the six study sites, of the 117 plant species identified to the species level across the spatial extents of all plots and duration of queen bee activity, the ML ensembles predicted the presence of 105 (89.7%) of them, and LM ensembles 102 (87.2%). Of the missing species two (1.7%) are Orchids, six (5.1%) are non-native, and one (0.85%) is of contested taxonomic standing, all of which (7.65%) are restricted from the initial query database.</w:t>
      </w:r>
      <w:bookmarkEnd w:id="23"/>
    </w:p>
    <w:p>
      <w:pPr>
        <w:pStyle w:val="Heading2"/>
        <w:rPr/>
      </w:pPr>
      <w:r>
        <w:rPr/>
        <w:t>3.2 | Microscopic Pollen identification</w:t>
      </w:r>
    </w:p>
    <w:p>
      <w:pPr>
        <w:pStyle w:val="FirstParagraph"/>
        <w:rPr/>
      </w:pPr>
      <w:r>
        <w:rPr/>
        <w:t xml:space="preserve">Using the fuchsin jelly preparation and light microscopic analyses of grains and scoring of 10 character states resulted in the establishment of 28 morphotypes which grains could be classified into. </w:t>
      </w:r>
      <w:r>
        <w:rPr>
          <w:i/>
          <w:iCs/>
        </w:rPr>
        <w:t>APPENDIX 7</w:t>
      </w:r>
      <w:r>
        <w:rPr/>
        <w:t xml:space="preserve">. From the 37 samples that were counted and based on rarefaction we </w:t>
      </w:r>
      <w:r>
        <w:rPr>
          <w:b/>
          <w:bCs/>
        </w:rPr>
        <w:t>had over % of expected morphotypes found</w:t>
      </w:r>
      <w:r>
        <w:rPr/>
        <w:t xml:space="preserve"> (morphotype richness, </w:t>
      </w:r>
      <w:r>
        <w:rPr/>
      </w:r>
      <m:oMath xmlns:m="http://schemas.openxmlformats.org/officeDocument/2006/math">
        <m:acc>
          <m:accPr>
            <m:chr m:val="´"/>
          </m:accPr>
          <m:e>
            <m:r>
              <w:rPr>
                <w:rFonts w:ascii="Cambria Math" w:hAnsi="Cambria Math"/>
              </w:rPr>
              <m:t xml:space="preserve">x</m:t>
            </m:r>
          </m:e>
        </m:acc>
      </m:oMath>
      <w:r>
        <w:rPr/>
        <w:t xml:space="preserve"> = 4.5, Mdn = 4, min = 1, max = 9), </w:t>
      </w:r>
      <w:r>
        <w:rPr>
          <w:b/>
          <w:bCs/>
        </w:rPr>
        <w:t xml:space="preserve">all samples had expected morphotype diversity reach the asymptote </w:t>
      </w:r>
      <w:r>
        <w:rPr>
          <w:b/>
          <w:bCs/>
          <w:i/>
          <w:iCs/>
        </w:rPr>
        <w:t>APPENDIX 8</w:t>
      </w:r>
      <w:r>
        <w:rPr>
          <w:b/>
          <w:bCs/>
        </w:rPr>
        <w:t>.</w:t>
      </w:r>
      <w:r>
        <w:rPr/>
        <w:t xml:space="preserve"> The number of counted pollen grains in each sample range from (514 - 19924, </w:t>
      </w:r>
      <w:r>
        <w:rPr/>
      </w:r>
      <m:oMath xmlns:m="http://schemas.openxmlformats.org/officeDocument/2006/math">
        <m:acc>
          <m:accPr>
            <m:chr m:val="´"/>
          </m:accPr>
          <m:e>
            <m:r>
              <w:rPr>
                <w:rFonts w:ascii="Cambria Math" w:hAnsi="Cambria Math"/>
              </w:rPr>
              <m:t xml:space="preserve">x</m:t>
            </m:r>
          </m:e>
        </m:acc>
      </m:oMath>
      <w:r>
        <w:rPr/>
        <w:t xml:space="preserve"> = 3319, Mdn = 1891).</w:t>
      </w:r>
    </w:p>
    <w:p>
      <w:pPr>
        <w:pStyle w:val="TextBody"/>
        <w:rPr/>
      </w:pPr>
      <w:r>
        <w:rPr>
          <w:b/>
          <w:bCs/>
        </w:rPr>
        <w:t xml:space="preserve">SUMMARY REQUIRED - Number of species from number of families, and how many species are identified to species versus number only to genera </w:t>
      </w:r>
    </w:p>
    <w:p>
      <w:pPr>
        <w:pStyle w:val="CaptionedFigure"/>
        <w:rPr/>
      </w:pPr>
      <w:r>
        <w:rPr/>
        <w:drawing>
          <wp:inline distT="0" distB="0" distL="0" distR="0">
            <wp:extent cx="3666490" cy="4385310"/>
            <wp:effectExtent l="0" t="0" r="0" b="0"/>
            <wp:docPr id="2" name="Image2" descr="Phylogenetic tree of all biotically pollinated plant genera in the study area. The innermost ring indicates every genus which Queen Bee’s were observed to visit. The intermediate ring indicates that at least a single morphological pollen voucher slide was prepared for a member of the genus. The outermost ring indicates that sequence data were available for at least a member of that genus. Branch colors follow AP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Phylogenetic tree of all biotically pollinated plant genera in the study area. The innermost ring indicates every genus which Queen Bee’s were observed to visit. The intermediate ring indicates that at least a single morphological pollen voucher slide was prepared for a member of the genus. The outermost ring indicates that sequence data were available for at least a member of that genus. Branch colors follow APG 4."/>
                    <pic:cNvPicPr>
                      <a:picLocks noChangeAspect="1" noChangeArrowheads="1"/>
                    </pic:cNvPicPr>
                  </pic:nvPicPr>
                  <pic:blipFill>
                    <a:blip r:embed="rId3"/>
                    <a:stretch>
                      <a:fillRect/>
                    </a:stretch>
                  </pic:blipFill>
                  <pic:spPr bwMode="auto">
                    <a:xfrm>
                      <a:off x="0" y="0"/>
                      <a:ext cx="3666490" cy="4385310"/>
                    </a:xfrm>
                    <a:prstGeom prst="rect">
                      <a:avLst/>
                    </a:prstGeom>
                  </pic:spPr>
                </pic:pic>
              </a:graphicData>
            </a:graphic>
          </wp:inline>
        </w:drawing>
      </w:r>
    </w:p>
    <w:p>
      <w:pPr>
        <w:pStyle w:val="ImageCaption"/>
        <w:rPr/>
      </w:pPr>
      <w:ins w:id="86" w:author="Jane Ogilvie" w:date="2023-03-02T10:10:00Z">
        <w:r>
          <w:rPr/>
          <w:t>F</w:t>
        </w:r>
      </w:ins>
      <w:ins w:id="87" w:author="Jane Ogilvie" w:date="2023-03-02T10:11:00Z">
        <w:r>
          <w:rPr/>
          <w:t xml:space="preserve">igure 2. </w:t>
        </w:r>
      </w:ins>
      <w:r>
        <w:rPr/>
        <w:t>Phylogenetic tree of all biotically pollinated plant genera in the study area. The innermost ring indicates every genus which Queen Bee’s were observed to visit. The intermediate ring indicates that at least a single morphological pollen voucher slide was prepared for a member of the genus. The outermost ring indicates that sequence data were available for at least a member of that genus. Branch colors follow APG 4.</w:t>
      </w:r>
    </w:p>
    <w:p>
      <w:pPr>
        <w:pStyle w:val="Heading3"/>
        <w:rPr/>
      </w:pPr>
      <w:bookmarkStart w:id="24" w:name="metabarcoding-pollen-indentification"/>
      <w:r>
        <w:rPr/>
        <w:t xml:space="preserve">3.3 | Metabarcoding Pollen </w:t>
      </w:r>
      <w:bookmarkEnd w:id="24"/>
      <w:r>
        <w:rPr/>
        <w:t>Identification</w:t>
      </w:r>
    </w:p>
    <w:p>
      <w:pPr>
        <w:pStyle w:val="Heading3"/>
        <w:rPr/>
      </w:pPr>
      <w:r>
        <w:rPr/>
        <w:t>3.3.1 | Spatial Analyses to identify candidate taxa</w:t>
      </w:r>
      <w:del w:id="88" w:author="Unknown Author" w:date="2023-03-01T20:38:47Z">
        <w:r>
          <w:rPr/>
          <w:commentReference w:id="37"/>
        </w:r>
      </w:del>
    </w:p>
    <w:p>
      <w:pPr>
        <w:pStyle w:val="FirstParagraph"/>
        <w:rPr/>
      </w:pPr>
      <w:r>
        <w:rPr/>
        <w:t>The median (25.009 km) of the logistic regression assessing the probability of occurrence of a species record as a function of distance from the study area was used as a threshold distance to include species for distribution modelling. A 2-sample test for equality of proportions with continuity correction (X-squared = 13.254, df = 1, p-value = 0.000136, 95% CI 0.04-1.00) was used to test whether more of the records located in the broad ecological sites present at the field station, between the distance of the median (25.009 km) to the third quantile (ca 43.830 km) of the regression distance, were true presences at the field station. Including these records would have resulted in modelling an additional 222 species distributions of which 30 are true presences, these taxa were not modelled.</w:t>
      </w:r>
    </w:p>
    <w:p>
      <w:pPr>
        <w:pStyle w:val="TextBody"/>
        <w:rPr/>
      </w:pPr>
      <w:r>
        <w:rPr/>
        <w:t>Across the entire spatial domain of modelling all ensembled models (n = 968) had an accuracy of 0.84 (95% CI 0.8356 - 0.8443), kappa = 0.68, p-value &lt; 0.001, sensitivity = 0.80, specificity = 0.87, AUC = 0.92.</w:t>
      </w:r>
    </w:p>
    <w:p>
      <w:pPr>
        <w:pStyle w:val="TextBody"/>
        <w:rPr/>
      </w:pPr>
      <w:r>
        <w:rPr/>
        <w:t>In the area of the minimum-spanning tree encompassing the field sites, of the 554 vascular plants with biotic pollination syndromes, the 493 ML ensembles accurately predicted the presence of 362 (65.3%), incorrectly predicted the presence of 64 (11.6%), incorrectly predicted 34 true presences (6.1%) as being absent, and correctly predicted the true absence of 33 (6.0%). The balanced accuracy of the ensembled models is 0.627 (Sensitivity = 0.340, Specificity 0.914). Of the 554 vascular plants with biotic pollination syndromes, the 475 LM ensembles accurately predicted the presence of 286 (51.6%), incorrectly predicted the presence of 41 (14.3%), incorrectly predicted 93 true presences (16.8%) as being absent, and correctly predicted the true absence of 55 (9.9%). The balanced accuracy of the ensembled models is 0.664 (Sensitivity = 0.573, Specificity 0.754). Of the 554 vascular plants with biotic pollination syndromes in the flora 13 (2.3%) were in the Orchid family and 41 (7.4%) are non-natives, both of which are restricted from the database, and can only reduce the number of true predicted presences by roughly 10%.</w:t>
      </w:r>
    </w:p>
    <w:p>
      <w:pPr>
        <w:pStyle w:val="TextBody"/>
        <w:rPr/>
      </w:pPr>
      <w:bookmarkStart w:id="25" w:name="Xa27f2621d925166aceec730989dd0124afca86e"/>
      <w:r>
        <w:rPr/>
        <w:t xml:space="preserve">At the six study </w:t>
      </w:r>
      <w:del w:id="89" w:author="Jane Ogilvie" w:date="2023-03-02T10:11:00Z">
        <w:r>
          <w:rPr/>
          <w:delText>plots</w:delText>
        </w:r>
      </w:del>
      <w:ins w:id="90" w:author="Jane Ogilvie" w:date="2023-03-02T10:11:00Z">
        <w:r>
          <w:rPr/>
          <w:t>sites</w:t>
        </w:r>
      </w:ins>
      <w:r>
        <w:rPr/>
        <w:t>, of the 117 plant species identified to the species level across the spatial extents of all plots and duration of queen bee activity, the ML ensembles predicted the presence of 105 (89.7%) of them, and LM ensembles 102 (87.2%). Of the missing species two (1.7%) are Orchids, six (5.1%) are non-native, and one (0.85%) is of contested taxonomic standing, all of which (7.65%) are restricted from the initial query database.</w:t>
      </w:r>
      <w:bookmarkEnd w:id="25"/>
    </w:p>
    <w:p>
      <w:pPr>
        <w:pStyle w:val="Heading3"/>
        <w:rPr/>
      </w:pPr>
      <w:r>
        <w:rPr/>
        <w:t>3.3.2 | Temporal Analysis</w:t>
      </w:r>
    </w:p>
    <w:p>
      <w:pPr>
        <w:pStyle w:val="FirstParagraph"/>
        <w:rPr/>
      </w:pPr>
      <w:r>
        <w:rPr/>
        <w:t xml:space="preserve">The first date of modeled snow melt in the Gothic area (n = 17, </w:t>
      </w:r>
      <w:r>
        <w:rPr/>
      </w:r>
      <m:oMath xmlns:m="http://schemas.openxmlformats.org/officeDocument/2006/math">
        <m:acc>
          <m:accPr>
            <m:chr m:val="´"/>
          </m:accPr>
          <m:e>
            <m:r>
              <w:rPr>
                <w:rFonts w:ascii="Cambria Math" w:hAnsi="Cambria Math"/>
              </w:rPr>
              <m:t xml:space="preserve">x</m:t>
            </m:r>
          </m:e>
        </m:acc>
      </m:oMath>
      <w:r>
        <w:rPr/>
        <w:t xml:space="preserve"> = 137.9, Mdn = 135, 3</w:t>
      </w:r>
      <w:r>
        <w:rPr>
          <w:vertAlign w:val="superscript"/>
        </w:rPr>
        <w:t>rd</w:t>
      </w:r>
      <w:r>
        <w:rPr/>
        <w:t xml:space="preserve"> quartile = 151), and the first date of a consistent winter snow base (n = 17, </w:t>
      </w:r>
      <w:r>
        <w:rPr/>
      </w:r>
      <m:oMath xmlns:m="http://schemas.openxmlformats.org/officeDocument/2006/math">
        <m:acc>
          <m:accPr>
            <m:chr m:val="´"/>
          </m:accPr>
          <m:e>
            <m:r>
              <w:rPr>
                <w:rFonts w:ascii="Cambria Math" w:hAnsi="Cambria Math"/>
              </w:rPr>
              <m:t xml:space="preserve">x</m:t>
            </m:r>
          </m:e>
        </m:acc>
      </m:oMath>
      <w:r>
        <w:rPr/>
        <w:t xml:space="preserve"> = 299.9, Mdn = 300, 1</w:t>
      </w:r>
      <w:r>
        <w:rPr>
          <w:vertAlign w:val="superscript"/>
        </w:rPr>
        <w:t>st</w:t>
      </w:r>
      <w:r>
        <w:rPr/>
        <w:t xml:space="preserve"> quartile = 291) from 2000-2017, were used as delimiters for the inclusions of herbarium records in modelling. Of the 439 species predicted likely present in the area via logistic regression, 332 species (64.4%) with more than 10 records in the focal level 4 ecoregions (</w:t>
      </w:r>
      <w:r>
        <w:rPr/>
      </w:r>
      <m:oMath xmlns:m="http://schemas.openxmlformats.org/officeDocument/2006/math">
        <m:acc>
          <m:accPr>
            <m:chr m:val="´"/>
          </m:accPr>
          <m:e>
            <m:r>
              <w:rPr>
                <w:rFonts w:ascii="Cambria Math" w:hAnsi="Cambria Math"/>
              </w:rPr>
              <m:t xml:space="preserve">x</m:t>
            </m:r>
          </m:e>
        </m:acc>
      </m:oMath>
      <w:r>
        <w:rPr/>
        <w:t xml:space="preserve"> = 35.016, Mdn = 35, max = 96) had Weibull estimates calculated, an additional 56 species (11.2%) with enough contributing records from the “Sedimentary Mid-Elevation Forests”, a large ecoregion generally just beneath the elevation bands occupied by the five ecoregions around the study area had Weibull estimates also calculated (</w:t>
      </w:r>
      <w:r>
        <w:rPr/>
      </w:r>
      <m:oMath xmlns:m="http://schemas.openxmlformats.org/officeDocument/2006/math">
        <m:acc>
          <m:accPr>
            <m:chr m:val="´"/>
          </m:accPr>
          <m:e>
            <m:r>
              <w:rPr>
                <w:rFonts w:ascii="Cambria Math" w:hAnsi="Cambria Math"/>
              </w:rPr>
              <m:t xml:space="preserve">x</m:t>
            </m:r>
          </m:e>
        </m:acc>
      </m:oMath>
      <w:r>
        <w:rPr/>
        <w:t xml:space="preserve"> = 13.868, Mdn = 13, max = 24).</w:t>
      </w:r>
    </w:p>
    <w:p>
      <w:pPr>
        <w:pStyle w:val="TextBody"/>
        <w:rPr/>
      </w:pPr>
      <w:r>
        <w:rPr/>
        <w:t xml:space="preserve">Only 58 of these 388 species (n = 34.6, Mdn = 31) were able to be compared to plot based observational data from the long term (1974–2012) data set (CaraDonna </w:t>
      </w:r>
      <w:r>
        <w:rPr>
          <w:i/>
          <w:iCs/>
        </w:rPr>
        <w:t>et al.</w:t>
      </w:r>
      <w:r>
        <w:rPr/>
        <w:t xml:space="preserve"> (</w:t>
      </w:r>
      <w:hyperlink w:anchor="ref-caradonna2014shifts">
        <w:r>
          <w:rPr>
            <w:rStyle w:val="InternetLink"/>
          </w:rPr>
          <w:t>2014</w:t>
        </w:r>
      </w:hyperlink>
      <w:r>
        <w:rPr/>
        <w:t>)). Of these species relatively high accord was observed between the long-term ground truthed data set, and the modelled species. There was very strong evidence that the Weibull estimates were positively associated with the observed onset (p &lt; 0.0001, tau = 0.61), peak (p &lt; 0.0001, tau = 0.65), and cessation of flowering (p &lt; 0.0001, tau = 0.49). There was moderate evidence that the Weibull estimates had a weak positive association with the observed duration of flowering (p = 0.58, tau = 0.17).</w:t>
      </w:r>
    </w:p>
    <w:p>
      <w:pPr>
        <w:pStyle w:val="TextBody"/>
        <w:rPr/>
      </w:pPr>
      <w:r>
        <w:rPr/>
        <w:t>Of the previous 58 species compared, 47 of these could be compared to plot-based data from the six sites observed in 2015. Due to methodological differences, the peak flowering was not compared, and due to the low performance of attempts to model ‘duration’ in the previous step it was also not compared. There was very strong evidence that the Weibull estimates were positively associated with the observed onset (p &lt; 0.0001, tau = 0.58), and cessation of flowering (p &lt; 0.0001, tau = 0.40).</w:t>
      </w:r>
    </w:p>
    <w:p>
      <w:pPr>
        <w:pStyle w:val="CaptionedFigure"/>
        <w:rPr/>
      </w:pPr>
      <w:r>
        <w:rPr/>
        <w:drawing>
          <wp:inline distT="0" distB="0" distL="0" distR="0">
            <wp:extent cx="2165350" cy="2165350"/>
            <wp:effectExtent l="0" t="0" r="0" b="0"/>
            <wp:docPr id="3" name="Image3" descr="Modelled dates of when major flowering events occurred compared between long term and modelled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descr="Modelled dates of when major flowering events occurred compared between long term and modelled data"/>
                    <pic:cNvPicPr>
                      <a:picLocks noChangeAspect="1" noChangeArrowheads="1"/>
                    </pic:cNvPicPr>
                  </pic:nvPicPr>
                  <pic:blipFill>
                    <a:blip r:embed="rId4"/>
                    <a:stretch>
                      <a:fillRect/>
                    </a:stretch>
                  </pic:blipFill>
                  <pic:spPr bwMode="auto">
                    <a:xfrm>
                      <a:off x="0" y="0"/>
                      <a:ext cx="2165350" cy="2165350"/>
                    </a:xfrm>
                    <a:prstGeom prst="rect">
                      <a:avLst/>
                    </a:prstGeom>
                  </pic:spPr>
                </pic:pic>
              </a:graphicData>
            </a:graphic>
          </wp:inline>
        </w:drawing>
      </w:r>
    </w:p>
    <w:p>
      <w:pPr>
        <w:pStyle w:val="ImageCaption"/>
        <w:rPr/>
      </w:pPr>
      <w:ins w:id="91" w:author="Jane Ogilvie" w:date="2023-03-02T10:11:00Z">
        <w:r>
          <w:rPr/>
          <w:t xml:space="preserve">Figure 3. </w:t>
        </w:r>
      </w:ins>
      <w:r>
        <w:rPr/>
        <w:t>Modelled dates of when major flowering events occurred compared between long term and modelled data</w:t>
      </w:r>
    </w:p>
    <w:p>
      <w:pPr>
        <w:pStyle w:val="CaptionedFigure"/>
        <w:rPr/>
      </w:pPr>
      <w:r>
        <w:rPr/>
        <w:drawing>
          <wp:inline distT="0" distB="0" distL="0" distR="0">
            <wp:extent cx="2165350" cy="1082675"/>
            <wp:effectExtent l="0" t="0" r="0" b="0"/>
            <wp:docPr id="4" name="Image4" descr="Modelled dates of when major flowering events occurred compared between 2015 and modelled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descr="Modelled dates of when major flowering events occurred compared between 2015 and modelled data"/>
                    <pic:cNvPicPr>
                      <a:picLocks noChangeAspect="1" noChangeArrowheads="1"/>
                    </pic:cNvPicPr>
                  </pic:nvPicPr>
                  <pic:blipFill>
                    <a:blip r:embed="rId5"/>
                    <a:stretch>
                      <a:fillRect/>
                    </a:stretch>
                  </pic:blipFill>
                  <pic:spPr bwMode="auto">
                    <a:xfrm>
                      <a:off x="0" y="0"/>
                      <a:ext cx="2165350" cy="1082675"/>
                    </a:xfrm>
                    <a:prstGeom prst="rect">
                      <a:avLst/>
                    </a:prstGeom>
                  </pic:spPr>
                </pic:pic>
              </a:graphicData>
            </a:graphic>
          </wp:inline>
        </w:drawing>
      </w:r>
    </w:p>
    <w:p>
      <w:pPr>
        <w:pStyle w:val="ImageCaption"/>
        <w:rPr/>
      </w:pPr>
      <w:ins w:id="92" w:author="Jane Ogilvie" w:date="2023-03-02T10:11:00Z">
        <w:bookmarkStart w:id="26" w:name="temporal-analysis"/>
        <w:bookmarkStart w:id="27" w:name="microscopic-pollen-identification"/>
        <w:r>
          <w:rPr/>
          <w:t xml:space="preserve">Figure 4. </w:t>
        </w:r>
      </w:ins>
      <w:r>
        <w:rPr/>
        <w:t>Modelled dates of when major flowering events occurred compared between 2015 and modelled data</w:t>
      </w:r>
      <w:bookmarkEnd w:id="26"/>
      <w:bookmarkEnd w:id="27"/>
    </w:p>
    <w:p>
      <w:pPr>
        <w:pStyle w:val="Heading2"/>
        <w:rPr/>
      </w:pPr>
      <w:bookmarkStart w:id="28" w:name="molecular-analysis-of-corbiculae-loads"/>
      <w:r>
        <w:rPr/>
        <w:t>3.3.1 | Molecular analysis of corbiculae loads</w:t>
      </w:r>
    </w:p>
    <w:p>
      <w:pPr>
        <w:pStyle w:val="FirstParagraph"/>
        <w:rPr/>
      </w:pPr>
      <w:r>
        <w:rPr/>
        <w:t xml:space="preserve">The 54 corbiculae loads had DNA extracted and underwent various steps towards hyb-seq, in the end a total of 44 corbiculae samples were sequenced, 7,752,353 reads were recovered from sequencing. The number of reads per sequence varied widely (range = 76 - 508,795, </w:t>
      </w:r>
      <w:r>
        <w:rPr/>
      </w:r>
      <m:oMath xmlns:m="http://schemas.openxmlformats.org/officeDocument/2006/math">
        <m:acc>
          <m:accPr>
            <m:chr m:val="´"/>
          </m:accPr>
          <m:e>
            <m:r>
              <w:rPr>
                <w:rFonts w:ascii="Cambria Math" w:hAnsi="Cambria Math"/>
              </w:rPr>
              <m:t xml:space="preserve">x</m:t>
            </m:r>
          </m:e>
        </m:acc>
      </m:oMath>
      <w:r>
        <w:rPr/>
        <w:t xml:space="preserve"> = 176,189.8, Mdn = 138,395). Of the possible 353 loci, the number which were recovered from each sample, and informative to BLAST were range = 24 - 353, </w:t>
      </w:r>
      <w:r>
        <w:rPr/>
      </w:r>
      <m:oMath xmlns:m="http://schemas.openxmlformats.org/officeDocument/2006/math">
        <m:acc>
          <m:accPr>
            <m:chr m:val="´"/>
          </m:accPr>
          <m:e>
            <m:r>
              <w:rPr>
                <w:rFonts w:ascii="Cambria Math" w:hAnsi="Cambria Math"/>
              </w:rPr>
              <m:t xml:space="preserve">x</m:t>
            </m:r>
          </m:e>
        </m:acc>
      </m:oMath>
      <w:r>
        <w:rPr/>
        <w:t xml:space="preserve"> = 305.5, Mdn = 331. The number of reads per loci from across all samples had a range of 178 - 506,653, </w:t>
      </w:r>
      <w:r>
        <w:rPr/>
      </w:r>
      <m:oMath xmlns:m="http://schemas.openxmlformats.org/officeDocument/2006/math">
        <m:acc>
          <m:accPr>
            <m:chr m:val="´"/>
          </m:accPr>
          <m:e>
            <m:r>
              <w:rPr>
                <w:rFonts w:ascii="Cambria Math" w:hAnsi="Cambria Math"/>
              </w:rPr>
              <m:t xml:space="preserve">x</m:t>
            </m:r>
          </m:e>
        </m:acc>
      </m:oMath>
      <w:r>
        <w:rPr/>
        <w:t xml:space="preserve"> = 20,688, Mdn = 12,616. </w:t>
      </w:r>
      <w:r>
        <w:rPr>
          <w:b/>
          <w:bCs/>
        </w:rPr>
        <w:t>APPENDIX X Reads Per Loci</w:t>
      </w:r>
      <w:r>
        <w:rPr/>
        <w:t>.</w:t>
      </w:r>
    </w:p>
    <w:p>
      <w:pPr>
        <w:pStyle w:val="TextBody"/>
        <w:rPr/>
      </w:pPr>
      <w:r>
        <w:rPr/>
        <w:t xml:space="preserve">After trimming 7,865,680 sequences remained. 10,682,538 reads were matched using Kraken, of the reads classified by Kraken 10,160,768 reads were matched using Bracken, of the reads classified by Kraken 7,549,608 reads were matched using BLAST. Based upon subjective review of the three classifiers </w:t>
      </w:r>
      <w:r>
        <w:rPr>
          <w:b/>
          <w:bCs/>
        </w:rPr>
        <w:t>APPENDIX X MOLECULAR NETWORKS - 3 DIFFERENT ONES</w:t>
      </w:r>
      <w:r>
        <w:rPr/>
        <w:t>, BLAST was chosen as the classification method which yielded the most probable results by the field ecologist, and its values were used for all subsequent analyses.</w:t>
      </w:r>
    </w:p>
    <w:p>
      <w:pPr>
        <w:pStyle w:val="TextBody"/>
        <w:rPr/>
      </w:pPr>
      <w:r>
        <w:rPr/>
        <w:t>The initial classification of sequences which were made by BLAST were reviewed programmatically, using predicted presence of the species (from spatial modelling), modelled flowering time (from temporal modelling), and taxonomy (from existing sources). A sequential process was utilized which reassigned sequences based on binary combinations of the factors above (Appendix XX). Given the relative sparsity of the number, and relatedness, of species represented in the sequence database this was performed to: 1) Identify locally present species represented by surrogates in the DB 2) Reduce false classifications of focal species 3) Identify high confidence sequence matches. Of the top ten taxa which were identified by BLAST for the 680 distinct records, 55.4% of the reads were classified to a species representing 48.3% of all classified reads, 41.9% of the reads were classified to genus representing 48.3% of all classified reads, and 0% of the records were classified to family.</w:t>
      </w:r>
    </w:p>
    <w:p>
      <w:pPr>
        <w:pStyle w:val="TextBody"/>
        <w:rPr/>
      </w:pPr>
      <w:r>
        <w:rPr/>
        <w:t xml:space="preserve">Of the </w:t>
      </w:r>
      <w:commentRangeStart w:id="38"/>
      <w:r>
        <w:rPr/>
        <w:t>0</w:t>
      </w:r>
      <w:r>
        <w:rPr/>
      </w:r>
      <w:commentRangeEnd w:id="38"/>
      <w:r>
        <w:commentReference w:id="38"/>
      </w:r>
      <w:r>
        <w:rPr/>
        <w:t xml:space="preserve"> classifications which were assigned to genera without any species predicted by spatial analyses, were investigated by hand after post-processing steps. These were all assigned via post-processing conditions (: , APPENDIX XX). These were manually assigned to a variety of ranks, occasionally to genus - 0, and species - 0, by consultation of the alpha-taxonomic literature (Sadeghian </w:t>
      </w:r>
      <w:r>
        <w:rPr>
          <w:i/>
          <w:iCs/>
        </w:rPr>
        <w:t>et al.</w:t>
      </w:r>
      <w:r>
        <w:rPr/>
        <w:t xml:space="preserve"> (</w:t>
      </w:r>
      <w:hyperlink w:anchor="ref-sadeghian2015molecular">
        <w:r>
          <w:rPr>
            <w:rStyle w:val="InternetLink"/>
          </w:rPr>
          <w:t>2015</w:t>
        </w:r>
      </w:hyperlink>
      <w:r>
        <w:rPr/>
        <w:t>), Sennikov &amp; Kurtto (</w:t>
      </w:r>
      <w:hyperlink w:anchor="ref-sennikov2017phylogenetic">
        <w:r>
          <w:rPr>
            <w:rStyle w:val="InternetLink"/>
          </w:rPr>
          <w:t>2017</w:t>
        </w:r>
      </w:hyperlink>
      <w:r>
        <w:rPr/>
        <w:t>), Rabeler &amp; Wagner (</w:t>
      </w:r>
      <w:hyperlink w:anchor="ref-rabeler2016new">
        <w:r>
          <w:rPr>
            <w:rStyle w:val="InternetLink"/>
          </w:rPr>
          <w:t>2016</w:t>
        </w:r>
      </w:hyperlink>
      <w:r>
        <w:rPr/>
        <w:t>), Pusalkar &amp; Singh (</w:t>
      </w:r>
      <w:hyperlink w:anchor="ref-pusalkar2015taxonomic">
        <w:r>
          <w:rPr>
            <w:rStyle w:val="InternetLink"/>
          </w:rPr>
          <w:t>2015</w:t>
        </w:r>
      </w:hyperlink>
      <w:r>
        <w:rPr/>
        <w:t>), Moore &amp; Bohs (</w:t>
      </w:r>
      <w:hyperlink w:anchor="ref-moore2003its">
        <w:r>
          <w:rPr>
            <w:rStyle w:val="InternetLink"/>
          </w:rPr>
          <w:t>2003</w:t>
        </w:r>
      </w:hyperlink>
      <w:r>
        <w:rPr/>
        <w:t>), Weber (</w:t>
      </w:r>
      <w:hyperlink w:anchor="ref-weber1998new">
        <w:r>
          <w:rPr>
            <w:rStyle w:val="InternetLink"/>
          </w:rPr>
          <w:t>1998</w:t>
        </w:r>
      </w:hyperlink>
      <w:r>
        <w:rPr/>
        <w:t>)).</w:t>
      </w:r>
    </w:p>
    <w:p>
      <w:pPr>
        <w:pStyle w:val="TextBody"/>
        <w:rPr/>
      </w:pPr>
      <w:r>
        <w:rPr/>
        <w:t xml:space="preserve">To determine at which level species in pollen loads could be detected the results of light microscopy were compared to the molecular results. The pollen samples contained three morphotypes which could readily be identified via microscopy. Two of these mapped to the clades (Boraginaceae &amp; Heliantheae Alliance), and one to a </w:t>
      </w:r>
      <w:commentRangeStart w:id="39"/>
      <w:r>
        <w:rPr/>
        <w:t xml:space="preserve">Asteraceae less Heliantheae. </w:t>
      </w:r>
      <w:r>
        <w:rPr/>
      </w:r>
      <w:commentRangeEnd w:id="39"/>
      <w:r>
        <w:commentReference w:id="39"/>
      </w:r>
      <w:r>
        <w:rPr/>
        <w:t>Boraginaceae grains were detected in 92.3% of samples where the proportion of target grains were between 0.01-1 (n = 13 Mdn = 0.663). Asteraceae type 1, non-helianthoids, were detected in 50% of samples where the proportion of target grains were between 0.001-0.01 (n = 4 Mdn = 0.001) Asteraceae type 2, Helianthoids, were detected in 33.3% of samples where the proportion of target grains were between 0.001-0.01 (n = 6 Mdn = 0.005); however, Asteraceae were detected in 80% of samples where the proportion of target grains were between 0.001-0.01 (n = 10 Mdn = 0.003). Both morphotypes of Asteraceae pollen were detected in 100% of samples where the proportion of target grains were between 0.01-1 (n = 2 Mdn = 0.338).</w:t>
      </w:r>
    </w:p>
    <w:p>
      <w:pPr>
        <w:pStyle w:val="TextBody"/>
        <w:rPr/>
      </w:pPr>
      <w:commentRangeStart w:id="40"/>
      <w:r>
        <w:rPr/>
        <w:drawing>
          <wp:inline distT="0" distB="0" distL="0" distR="0">
            <wp:extent cx="4620260" cy="3696335"/>
            <wp:effectExtent l="0" t="0" r="0" b="0"/>
            <wp:docPr id="5"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 descr=""/>
                    <pic:cNvPicPr>
                      <a:picLocks noChangeAspect="1" noChangeArrowheads="1"/>
                    </pic:cNvPicPr>
                  </pic:nvPicPr>
                  <pic:blipFill>
                    <a:blip r:embed="rId6"/>
                    <a:stretch>
                      <a:fillRect/>
                    </a:stretch>
                  </pic:blipFill>
                  <pic:spPr bwMode="auto">
                    <a:xfrm>
                      <a:off x="0" y="0"/>
                      <a:ext cx="4620260" cy="3696335"/>
                    </a:xfrm>
                    <a:prstGeom prst="rect">
                      <a:avLst/>
                    </a:prstGeom>
                  </pic:spPr>
                </pic:pic>
              </a:graphicData>
            </a:graphic>
          </wp:inline>
        </w:drawing>
      </w:r>
      <w:commentRangeEnd w:id="40"/>
      <w:r>
        <w:commentReference w:id="40"/>
      </w:r>
      <w:r>
        <w:rPr/>
      </w:r>
    </w:p>
    <w:p>
      <w:pPr>
        <w:pStyle w:val="TextBody"/>
        <w:rPr/>
      </w:pPr>
      <w:r>
        <w:rPr/>
        <w:t xml:space="preserve">To detect whether the sequencing reads were semi-quantitative the subset of all pollen morphotypes distinguishable by microscopy were compared to the sequence reads. In all instances sequence reads were pooled to the highest taxonomic rank associated with the morphotype, e.g. if both species of </w:t>
      </w:r>
      <w:r>
        <w:rPr>
          <w:i/>
          <w:iCs/>
        </w:rPr>
        <w:t>Mertensia</w:t>
      </w:r>
      <w:r>
        <w:rPr/>
        <w:t xml:space="preserve"> Huth, or one species and read only classified to genus were present in a sample, the reads were summed. The total percentage of the ten most abundant grains per sample were then were then relativized to constitute the entire sample.</w:t>
      </w:r>
    </w:p>
    <w:p>
      <w:pPr>
        <w:pStyle w:val="TextBody"/>
        <w:rPr/>
      </w:pPr>
      <w:r>
        <w:rPr/>
        <w:t xml:space="preserve">The relationship between the number of pollen grains in a sample and the number of sequence reads is roughly linear, where grains which are present in trace amounts are overestimated by sequence counts, while grains present in high amounts are underestimated. This is likely due to the proportion of high false positives which occur in the classification process with next-generation sequencing (Bell </w:t>
      </w:r>
      <w:r>
        <w:rPr>
          <w:i/>
          <w:iCs/>
        </w:rPr>
        <w:t>et al.</w:t>
      </w:r>
      <w:r>
        <w:rPr/>
        <w:t xml:space="preserve"> (</w:t>
      </w:r>
      <w:hyperlink w:anchor="ref-bell2021comparing">
        <w:r>
          <w:rPr>
            <w:rStyle w:val="InternetLink"/>
          </w:rPr>
          <w:t>2021</w:t>
        </w:r>
      </w:hyperlink>
      <w:r>
        <w:rPr/>
        <w:t>)). There was evidence of a strong correlation between the proportion of grains per morphotype and the number of sequences per group (0.43, p &lt; 0.0001, n = 32).</w:t>
      </w:r>
    </w:p>
    <w:p>
      <w:pPr>
        <w:pStyle w:val="TextBody"/>
        <w:rPr/>
      </w:pPr>
      <w:r>
        <w:rPr/>
        <w:t xml:space="preserve">To ascertain the extent to which records of multiple species in a family, which were suspected to be sampling artefacts occurred in molecular samples an index of similarity, ala </w:t>
      </w:r>
      <w:del w:id="93" w:author="Jane Ogilvie" w:date="2023-03-01T23:02:00Z">
        <w:r>
          <w:rPr/>
          <w:delText>jaccard</w:delText>
        </w:r>
      </w:del>
      <w:ins w:id="94" w:author="Jane Ogilvie" w:date="2023-03-01T23:02:00Z">
        <w:r>
          <w:rPr/>
          <w:t>Jaccard</w:t>
        </w:r>
      </w:ins>
      <w:r>
        <w:rPr/>
        <w:t xml:space="preserve">, the affinity index was used to assess co-occurrence (Mainali </w:t>
      </w:r>
      <w:r>
        <w:rPr>
          <w:i/>
          <w:iCs/>
        </w:rPr>
        <w:t>et al.</w:t>
      </w:r>
      <w:r>
        <w:rPr/>
        <w:t xml:space="preserve"> (</w:t>
      </w:r>
      <w:hyperlink w:anchor="ref-mainali2022better">
        <w:r>
          <w:rPr>
            <w:rStyle w:val="InternetLink"/>
          </w:rPr>
          <w:t>2022</w:t>
        </w:r>
      </w:hyperlink>
      <w:r>
        <w:rPr/>
        <w:t>), Mainali &amp; Slud (</w:t>
      </w:r>
      <w:hyperlink w:anchor="ref-mainali2022alpha">
        <w:r>
          <w:rPr>
            <w:rStyle w:val="InternetLink"/>
          </w:rPr>
          <w:t>2022</w:t>
        </w:r>
      </w:hyperlink>
      <w:r>
        <w:rPr/>
        <w:t>)). Numerous taxa from the family Ranunculaceae Jussieu (</w:t>
      </w:r>
      <w:r>
        <w:rPr>
          <w:i/>
          <w:iCs/>
        </w:rPr>
        <w:t>Caltha</w:t>
      </w:r>
      <w:r>
        <w:rPr/>
        <w:t xml:space="preserve"> L. sp., </w:t>
      </w:r>
      <w:r>
        <w:rPr>
          <w:i/>
          <w:iCs/>
        </w:rPr>
        <w:t>Thalictrum</w:t>
      </w:r>
      <w:r>
        <w:rPr/>
        <w:t xml:space="preserve"> L. spp., </w:t>
      </w:r>
      <w:r>
        <w:rPr>
          <w:i/>
          <w:iCs/>
        </w:rPr>
        <w:t>Trollius</w:t>
      </w:r>
      <w:r>
        <w:rPr/>
        <w:t xml:space="preserve"> L. sp., </w:t>
      </w:r>
      <w:r>
        <w:rPr>
          <w:i/>
          <w:iCs/>
        </w:rPr>
        <w:t>Aquilegia</w:t>
      </w:r>
      <w:r>
        <w:rPr/>
        <w:t xml:space="preserve"> L. spp.), had </w:t>
      </w:r>
      <w:r>
        <w:rPr/>
      </w:r>
      <m:oMath xmlns:m="http://schemas.openxmlformats.org/officeDocument/2006/math">
        <m:r>
          <w:rPr>
            <w:rFonts w:ascii="Cambria Math" w:hAnsi="Cambria Math"/>
          </w:rPr>
          <m:t xml:space="preserve">α</m:t>
        </m:r>
      </m:oMath>
      <w:r>
        <w:rPr/>
        <w:t xml:space="preserve"> scores which indicated that they are only present when a more common confamilial taxa </w:t>
      </w:r>
      <w:r>
        <w:rPr>
          <w:i/>
          <w:iCs/>
        </w:rPr>
        <w:t>Delphinium barbeyi</w:t>
      </w:r>
      <w:r>
        <w:rPr/>
        <w:t xml:space="preserve"> (Huth) Huth </w:t>
      </w:r>
      <w:r>
        <w:rPr>
          <w:i/>
          <w:iCs/>
        </w:rPr>
        <w:t>nuttallianum</w:t>
      </w:r>
      <w:r>
        <w:rPr/>
        <w:t xml:space="preserve"> Pritz. were recorded. A similar relationship was observed in the Hydrophyllaceae R.Br. with samples placed in </w:t>
      </w:r>
      <w:r>
        <w:rPr>
          <w:i/>
          <w:iCs/>
        </w:rPr>
        <w:t>Nemophila</w:t>
      </w:r>
      <w:r>
        <w:rPr/>
        <w:t xml:space="preserve"> Nutt., which only occurred when the more abundant </w:t>
      </w:r>
      <w:r>
        <w:rPr>
          <w:i/>
          <w:iCs/>
        </w:rPr>
        <w:t>Hydrophyllum</w:t>
      </w:r>
      <w:r>
        <w:rPr/>
        <w:t xml:space="preserve"> L. species were present. The size of flower of </w:t>
      </w:r>
      <w:r>
        <w:rPr>
          <w:i/>
          <w:iCs/>
        </w:rPr>
        <w:t xml:space="preserve">Nemophila </w:t>
      </w:r>
      <w:del w:id="95" w:author="Unknown Author" w:date="2023-03-24T17:40:13Z">
        <w:r>
          <w:rPr>
            <w:i/>
            <w:iCs/>
          </w:rPr>
          <w:commentReference w:id="41"/>
        </w:r>
      </w:del>
      <w:r>
        <w:rPr>
          <w:i/>
          <w:iCs/>
        </w:rPr>
        <w:t>breviflora</w:t>
      </w:r>
      <w:r>
        <w:rPr/>
        <w:t xml:space="preserve"> A. Gray make it unlikely to be visited by Bumble Bees, and it is a false positive. The floral morphology of </w:t>
      </w:r>
      <w:r>
        <w:rPr>
          <w:i/>
          <w:iCs/>
        </w:rPr>
        <w:t>Thalictrum</w:t>
      </w:r>
      <w:r>
        <w:rPr/>
        <w:t xml:space="preserve"> spp. also makes it unlikely to be visited (BELEIVE JANE SAID THIS- IF NOT STRIKE OUT</w:t>
      </w:r>
      <w:del w:id="96" w:author="Unknown Author" w:date="2023-03-24T17:40:18Z">
        <w:r>
          <w:rPr/>
          <w:commentReference w:id="42"/>
        </w:r>
      </w:del>
      <w:r>
        <w:rPr/>
        <w:t xml:space="preserve">), and while evidence of visits to </w:t>
      </w:r>
      <w:r>
        <w:rPr>
          <w:i/>
          <w:iCs/>
        </w:rPr>
        <w:t>Caltha</w:t>
      </w:r>
      <w:r>
        <w:rPr/>
        <w:t xml:space="preserve"> and </w:t>
      </w:r>
      <w:r>
        <w:rPr>
          <w:i/>
          <w:iCs/>
        </w:rPr>
        <w:t>Trollius</w:t>
      </w:r>
      <w:r>
        <w:rPr/>
        <w:t xml:space="preserve"> are lacking, due to the association between the reads these results appear unlikel</w:t>
      </w:r>
      <w:bookmarkEnd w:id="28"/>
      <w:r>
        <w:rPr/>
        <w:t>y.</w:t>
      </w:r>
    </w:p>
    <w:p>
      <w:pPr>
        <w:pStyle w:val="Heading2"/>
        <w:rPr/>
      </w:pPr>
      <w:r>
        <w:rPr/>
        <w:t>3.6 | Integrated Observational, Molecular, and Palynological Network</w:t>
      </w:r>
    </w:p>
    <w:p>
      <w:pPr>
        <w:pStyle w:val="FirstParagraph"/>
        <w:rPr/>
      </w:pPr>
      <w:r>
        <w:rPr/>
        <w:t>While the spatial results were used to declare the taxonomic composition of the sequence database, temporal results were used in consideration with plant phylogeny to retroactively, reassign the assignment of sequences to taxa. Essentially, if a sequence was identified to a taxon which was not known from the field site</w:t>
      </w:r>
      <w:ins w:id="97" w:author="Jane Ogilvie" w:date="2023-03-01T23:10:00Z">
        <w:r>
          <w:rPr/>
          <w:t>…</w:t>
        </w:r>
      </w:ins>
    </w:p>
    <w:p>
      <w:pPr>
        <w:pStyle w:val="TextBody"/>
        <w:rPr/>
      </w:pPr>
      <w:commentRangeStart w:id="43"/>
      <w:r>
        <w:rPr/>
        <w:t xml:space="preserve">For </w:t>
      </w:r>
      <w:r>
        <w:rPr/>
      </w:r>
      <w:commentRangeEnd w:id="43"/>
      <w:r>
        <w:commentReference w:id="43"/>
      </w:r>
      <w:r>
        <w:rPr/>
        <w:t>example</w:t>
      </w:r>
      <w:ins w:id="98" w:author="Jane Ogilvie" w:date="2023-03-01T23:10:00Z">
        <w:r>
          <w:rPr/>
          <w:t>,</w:t>
        </w:r>
      </w:ins>
      <w:r>
        <w:rPr/>
        <w:t xml:space="preserve"> </w:t>
      </w:r>
      <w:del w:id="99" w:author="Jane Ogilvie" w:date="2023-03-01T23:12:00Z">
        <w:r>
          <w:rPr/>
          <w:delText xml:space="preserve">a </w:delText>
        </w:r>
      </w:del>
      <w:r>
        <w:rPr/>
        <w:t xml:space="preserve">many sequences which mapped to the Asteraceae family, but which </w:t>
      </w:r>
      <w:del w:id="100" w:author="Jane Ogilvie" w:date="2023-03-01T23:12:00Z">
        <w:r>
          <w:rPr/>
          <w:delText xml:space="preserve">was </w:delText>
        </w:r>
      </w:del>
      <w:ins w:id="101" w:author="Jane Ogilvie" w:date="2023-03-01T23:12:00Z">
        <w:r>
          <w:rPr/>
          <w:t xml:space="preserve">were </w:t>
        </w:r>
      </w:ins>
      <w:r>
        <w:rPr/>
        <w:t xml:space="preserve">flagged by temporal filters and is present in both </w:t>
      </w:r>
      <w:r>
        <w:rPr>
          <w:i/>
          <w:iCs/>
        </w:rPr>
        <w:t>B. nevadensis</w:t>
      </w:r>
      <w:r>
        <w:rPr/>
        <w:t xml:space="preserve"> Cresson and </w:t>
      </w:r>
      <w:r>
        <w:rPr>
          <w:i/>
          <w:iCs/>
        </w:rPr>
        <w:t>B. rufocinctus</w:t>
      </w:r>
      <w:r>
        <w:rPr/>
        <w:t xml:space="preserve"> Cresson pollen is most likely </w:t>
      </w:r>
      <w:r>
        <w:rPr>
          <w:i/>
          <w:iCs/>
        </w:rPr>
        <w:t>Frasera</w:t>
      </w:r>
      <w:r>
        <w:rPr/>
        <w:t xml:space="preserve"> Walter, </w:t>
      </w:r>
      <w:ins w:id="102" w:author="Jane Ogilvie" w:date="2023-03-01T23:11:00Z">
        <w:r>
          <w:rPr/>
          <w:t xml:space="preserve">for </w:t>
        </w:r>
      </w:ins>
      <w:r>
        <w:rPr/>
        <w:t xml:space="preserve">which </w:t>
      </w:r>
      <w:del w:id="103" w:author="Jane Ogilvie" w:date="2023-03-01T23:11:00Z">
        <w:r>
          <w:rPr/>
          <w:delText xml:space="preserve">failed </w:delText>
        </w:r>
      </w:del>
      <w:r>
        <w:rPr/>
        <w:t xml:space="preserve">extractions for the reference library failed (APPENDIX XX). A similar likely mismatch could be between what was </w:t>
      </w:r>
      <w:del w:id="104" w:author="Jane Ogilvie" w:date="2023-03-01T23:12:00Z">
        <w:r>
          <w:rPr/>
          <w:delText xml:space="preserve">fide </w:delText>
        </w:r>
      </w:del>
      <w:r>
        <w:rPr/>
        <w:t xml:space="preserve">molecular evidence as </w:t>
      </w:r>
      <w:r>
        <w:rPr>
          <w:i/>
          <w:iCs/>
        </w:rPr>
        <w:t>Agastache pallidiflora</w:t>
      </w:r>
      <w:r>
        <w:rPr/>
        <w:t xml:space="preserve"> (A. Heller) Rydb. but where feeding was infrequently observed on </w:t>
      </w:r>
      <w:r>
        <w:rPr>
          <w:i/>
          <w:iCs/>
        </w:rPr>
        <w:t>Pedicularis</w:t>
      </w:r>
      <w:r>
        <w:rPr/>
        <w:t xml:space="preserve"> L., likely due to this entire order being represented by only a single molecular reference species.</w:t>
      </w:r>
    </w:p>
    <w:p>
      <w:pPr>
        <w:pStyle w:val="TextBody"/>
        <w:rPr/>
      </w:pPr>
      <w:r>
        <w:rPr/>
        <w:t xml:space="preserve">Situations where SDM’s led to incorrect results at the species level are evident with classification to </w:t>
      </w:r>
      <w:r>
        <w:rPr>
          <w:i/>
          <w:iCs/>
        </w:rPr>
        <w:t>Scabrethia Scabra</w:t>
      </w:r>
      <w:r>
        <w:rPr/>
        <w:t xml:space="preserve"> (Hooker) W.A. Weber, this match almost certainly representing </w:t>
      </w:r>
      <w:r>
        <w:rPr>
          <w:i/>
          <w:iCs/>
        </w:rPr>
        <w:t>Wyethia arizonica</w:t>
      </w:r>
      <w:r>
        <w:rPr/>
        <w:t xml:space="preserve"> A. Gray (Weber (</w:t>
      </w:r>
      <w:hyperlink w:anchor="ref-weber1998new">
        <w:r>
          <w:rPr>
            <w:rStyle w:val="InternetLink"/>
          </w:rPr>
          <w:t>1998</w:t>
        </w:r>
      </w:hyperlink>
      <w:r>
        <w:rPr/>
        <w:t xml:space="preserve">)), a taxon known to be visited by </w:t>
      </w:r>
      <w:ins w:id="105" w:author="Jane Ogilvie" w:date="2023-03-01T23:14:00Z">
        <w:r>
          <w:rPr/>
          <w:t>q</w:t>
        </w:r>
      </w:ins>
      <w:del w:id="106" w:author="Jane Ogilvie" w:date="2023-03-01T23:14:00Z">
        <w:r>
          <w:rPr/>
          <w:delText>Q</w:delText>
        </w:r>
      </w:del>
      <w:r>
        <w:rPr/>
        <w:t xml:space="preserve">ueen bee’s via our floral observations. An expected inaccuracy of the classification scheme is in genus level placements, e.g. were </w:t>
      </w:r>
      <w:r>
        <w:rPr>
          <w:i/>
          <w:iCs/>
        </w:rPr>
        <w:t>Epilobium</w:t>
      </w:r>
      <w:r>
        <w:rPr/>
        <w:t xml:space="preserve"> L. (Onagraceae Juss.) spp. were classified. However, given the small size of their flowers in the study area, these results more likely indicate that a species of </w:t>
      </w:r>
      <w:r>
        <w:rPr>
          <w:i/>
          <w:iCs/>
        </w:rPr>
        <w:t>Chamaenerion</w:t>
      </w:r>
      <w:r>
        <w:rPr/>
        <w:t xml:space="preserve"> Seg. (a segregate genus) such as </w:t>
      </w:r>
      <w:r>
        <w:rPr>
          <w:i/>
          <w:iCs/>
        </w:rPr>
        <w:t>C. angustifolium</w:t>
      </w:r>
      <w:r>
        <w:rPr/>
        <w:t xml:space="preserve"> (L.) Scop. or </w:t>
      </w:r>
      <w:r>
        <w:rPr>
          <w:i/>
          <w:iCs/>
        </w:rPr>
        <w:t>latifolium</w:t>
      </w:r>
      <w:r>
        <w:rPr/>
        <w:t xml:space="preserve"> (L.) Sweet is occasionally utilized, as it supported by limited palynology data. An issue with reclassification within the family level in combination with time included reclassifying </w:t>
      </w:r>
      <w:r>
        <w:rPr>
          <w:i/>
          <w:iCs/>
        </w:rPr>
        <w:t>Parnassia palustris</w:t>
      </w:r>
      <w:r>
        <w:rPr/>
        <w:t xml:space="preserve"> L. to </w:t>
      </w:r>
      <w:r>
        <w:rPr>
          <w:i/>
          <w:iCs/>
        </w:rPr>
        <w:t>Paxistima myrsinites</w:t>
      </w:r>
      <w:r>
        <w:rPr/>
        <w:t xml:space="preserve"> (Pursh) Rafinesque. However, based on flower size it is more likely that the visited taxon was </w:t>
      </w:r>
      <w:r>
        <w:rPr>
          <w:i/>
          <w:iCs/>
        </w:rPr>
        <w:t>P. palustris</w:t>
      </w:r>
      <w:r>
        <w:rPr/>
        <w:t>.</w:t>
      </w:r>
    </w:p>
    <w:p>
      <w:pPr>
        <w:pStyle w:val="TextBody"/>
        <w:rPr/>
      </w:pPr>
      <w:r>
        <w:rPr/>
        <w:t>Regarding limitations of morphological data we suspect that there were two morphotypes of pollen identified as Ericaceae Juss. were actually Onagraceae (Samples 19 &amp; 44), based on molecular results.</w:t>
      </w:r>
    </w:p>
    <w:p>
      <w:pPr>
        <w:pStyle w:val="TextBody"/>
        <w:rPr/>
      </w:pPr>
      <w:r>
        <w:rPr/>
        <w:t>It is not unlikely that much of the difference in the results between the observational and molecular work are attributable to the challenges in detecting rare events in these smaller sizes. For example, no more than 10 bee corbiculae loads per species were sequenced with the Mdn = 5.5 … , and the median of interactions with the top 5 plant sizes constituted 0.8283385 of the top interactions. Accordingly, combining the results of floral observations, and palynology, molecular sequencing - both pre and post processing, we subjectively developed re-classifications of the contents of pollen grains…</w:t>
      </w:r>
    </w:p>
    <w:p>
      <w:pPr>
        <w:pStyle w:val="TextBody"/>
        <w:rPr/>
      </w:pPr>
      <w:r>
        <w:rPr/>
      </w:r>
      <w:bookmarkStart w:id="29" w:name="results"/>
      <w:bookmarkStart w:id="30" w:name="Xf1861ac642570f5a03736c772bdea3cf6619f1c"/>
      <w:bookmarkStart w:id="31" w:name="results"/>
      <w:bookmarkStart w:id="32" w:name="Xf1861ac642570f5a03736c772bdea3cf6619f1c"/>
      <w:bookmarkEnd w:id="31"/>
      <w:bookmarkEnd w:id="32"/>
    </w:p>
    <w:p>
      <w:pPr>
        <w:pStyle w:val="Heading1"/>
        <w:rPr/>
      </w:pPr>
      <w:bookmarkStart w:id="33" w:name="discussion"/>
      <w:r>
        <w:rPr/>
        <w:t>4 | DISCUSSION</w:t>
      </w:r>
    </w:p>
    <w:p>
      <w:pPr>
        <w:pStyle w:val="FirstParagraph"/>
        <w:rPr/>
      </w:pPr>
      <w:commentRangeStart w:id="44"/>
      <w:r>
        <w:rPr/>
        <w:t xml:space="preserve">We </w:t>
      </w:r>
      <w:r>
        <w:rPr/>
      </w:r>
      <w:commentRangeEnd w:id="44"/>
      <w:r>
        <w:commentReference w:id="44"/>
      </w:r>
      <w:r>
        <w:rPr/>
        <w:t xml:space="preserve">have demonstrated how the Angiosperms533 hyb-seq probes may be used for plant barcoding in a metagenomic context (Johnson </w:t>
      </w:r>
      <w:r>
        <w:rPr>
          <w:i/>
          <w:iCs/>
        </w:rPr>
        <w:t>et al.</w:t>
      </w:r>
      <w:r>
        <w:rPr/>
        <w:t xml:space="preserve"> (</w:t>
      </w:r>
      <w:hyperlink w:anchor="ref-johnson2019universal">
        <w:r>
          <w:rPr>
            <w:rStyle w:val="InternetLink"/>
          </w:rPr>
          <w:t>2019</w:t>
        </w:r>
      </w:hyperlink>
      <w:r>
        <w:rPr/>
        <w:t xml:space="preserve">), Hollingsworth </w:t>
      </w:r>
      <w:r>
        <w:rPr>
          <w:i/>
          <w:iCs/>
        </w:rPr>
        <w:t>et al.</w:t>
      </w:r>
      <w:r>
        <w:rPr/>
        <w:t xml:space="preserve"> (</w:t>
      </w:r>
      <w:hyperlink w:anchor="ref-hollingsworth2016telling">
        <w:r>
          <w:rPr>
            <w:rStyle w:val="InternetLink"/>
          </w:rPr>
          <w:t>2016</w:t>
        </w:r>
      </w:hyperlink>
      <w:r>
        <w:rPr/>
        <w:t>)). This was exemplified in an ecologically relevant scenario, where the results have immediate implications for natural history guided fundamental science and land management. The test pollen loads contained a number of closely related taxa, some in notoriously morphologically difficult clades with rapid rates of diversification (e.g. </w:t>
      </w:r>
      <w:r>
        <w:rPr>
          <w:i/>
          <w:iCs/>
        </w:rPr>
        <w:t>Mertensia</w:t>
      </w:r>
      <w:r>
        <w:rPr/>
        <w:t xml:space="preserve">, </w:t>
      </w:r>
      <w:r>
        <w:rPr>
          <w:i/>
          <w:iCs/>
        </w:rPr>
        <w:t>Lupinus</w:t>
      </w:r>
      <w:r>
        <w:rPr/>
        <w:t xml:space="preserve"> L.), at naturally occurring proportions (Nevado </w:t>
      </w:r>
      <w:r>
        <w:rPr>
          <w:i/>
          <w:iCs/>
        </w:rPr>
        <w:t>et al.</w:t>
      </w:r>
      <w:r>
        <w:rPr/>
        <w:t xml:space="preserve"> (</w:t>
      </w:r>
      <w:hyperlink w:anchor="ref-nevado2016widespread">
        <w:r>
          <w:rPr>
            <w:rStyle w:val="InternetLink"/>
          </w:rPr>
          <w:t>2016</w:t>
        </w:r>
      </w:hyperlink>
      <w:r>
        <w:rPr/>
        <w:t>), Nazaire &amp; Hufford (</w:t>
      </w:r>
      <w:hyperlink w:anchor="ref-nazaire2014phylogenetic">
        <w:r>
          <w:rPr>
            <w:rStyle w:val="InternetLink"/>
          </w:rPr>
          <w:t>2014</w:t>
        </w:r>
      </w:hyperlink>
      <w:r>
        <w:rPr/>
        <w:t xml:space="preserve">)). We incorporated spatial and temporal approaches for creating custom sequence databases </w:t>
      </w:r>
      <w:ins w:id="107" w:author="Jane Ogilvie" w:date="2023-03-01T23:16:00Z">
        <w:r>
          <w:rPr/>
          <w:t xml:space="preserve">in </w:t>
        </w:r>
      </w:ins>
      <w:r>
        <w:rPr/>
        <w:t xml:space="preserve">an approach which is readily applicable to any lab group with the capacity to perform next-generation sequencing across the entirety of multiple continents, and which we expect to be highly beneficial in many study areas. By combining insights from these novel approaches with an extensive observational </w:t>
      </w:r>
      <w:del w:id="108" w:author="Jane Ogilvie" w:date="2023-03-01T23:17:00Z">
        <w:r>
          <w:rPr/>
          <w:delText>field based</w:delText>
        </w:r>
      </w:del>
      <w:ins w:id="109" w:author="Jane Ogilvie" w:date="2023-03-01T23:17:00Z">
        <w:r>
          <w:rPr/>
          <w:t>field-based</w:t>
        </w:r>
      </w:ins>
      <w:r>
        <w:rPr/>
        <w:t xml:space="preserve"> study we show how these methods may be applied to test a variety of hypotheses related to ecological interactions.</w:t>
      </w:r>
    </w:p>
    <w:p>
      <w:pPr>
        <w:pStyle w:val="TextBody"/>
        <w:rPr/>
      </w:pPr>
      <w:r>
        <w:rPr/>
        <w:t>The SDM’s which we generated, with relatively few occurrence records and few modelling iterations, performed beyond expectations, likely due to the utility of the predictor variables and strong alignment of vegetation by orographic precipitation in the study area. However, we had difficulties in evaluating our predictions in an operational context. We utilized the database query approach, to only model species with a high probability of not being dispersal limited to the focal area, and focused on a relevant subset of many of these species ranges to reduce the contributions of range wide adaptions on habitat (Sork (</w:t>
      </w:r>
      <w:hyperlink w:anchor="ref-sork2018genomic">
        <w:r>
          <w:rPr>
            <w:rStyle w:val="InternetLink"/>
          </w:rPr>
          <w:t>2018</w:t>
        </w:r>
      </w:hyperlink>
      <w:r>
        <w:rPr/>
        <w:t xml:space="preserve">), Joshi </w:t>
      </w:r>
      <w:r>
        <w:rPr>
          <w:i/>
          <w:iCs/>
        </w:rPr>
        <w:t>et al.</w:t>
      </w:r>
      <w:r>
        <w:rPr/>
        <w:t xml:space="preserve"> (</w:t>
      </w:r>
      <w:hyperlink w:anchor="ref-joshi2001local">
        <w:r>
          <w:rPr>
            <w:rStyle w:val="InternetLink"/>
          </w:rPr>
          <w:t>2001</w:t>
        </w:r>
      </w:hyperlink>
      <w:r>
        <w:rPr/>
        <w:t xml:space="preserve">)). While the models worked well compared to both test, and validation with external point data, moving from points to polygon features was more difficult. We were able to compare our results to </w:t>
      </w:r>
      <w:ins w:id="110" w:author="Jane Ogilvie" w:date="2023-03-01T23:18:00Z">
        <w:r>
          <w:rPr/>
          <w:t>(</w:t>
        </w:r>
      </w:ins>
      <w:r>
        <w:rPr/>
        <w:t xml:space="preserve">1) a Flora, </w:t>
      </w:r>
      <w:ins w:id="111" w:author="Jane Ogilvie" w:date="2023-03-01T23:18:00Z">
        <w:r>
          <w:rPr/>
          <w:t>(</w:t>
        </w:r>
      </w:ins>
      <w:r>
        <w:rPr/>
        <w:t xml:space="preserve">2) lists of plants used by </w:t>
      </w:r>
      <w:ins w:id="112" w:author="Jane Ogilvie" w:date="2023-03-01T23:18:00Z">
        <w:r>
          <w:rPr/>
          <w:t>b</w:t>
        </w:r>
      </w:ins>
      <w:del w:id="113" w:author="Jane Ogilvie" w:date="2023-03-01T23:18:00Z">
        <w:r>
          <w:rPr/>
          <w:delText>B</w:delText>
        </w:r>
      </w:del>
      <w:r>
        <w:rPr/>
        <w:t xml:space="preserve">umble </w:t>
      </w:r>
      <w:ins w:id="114" w:author="Jane Ogilvie" w:date="2023-03-01T23:18:00Z">
        <w:r>
          <w:rPr/>
          <w:t>b</w:t>
        </w:r>
      </w:ins>
      <w:del w:id="115" w:author="Jane Ogilvie" w:date="2023-03-01T23:18:00Z">
        <w:r>
          <w:rPr/>
          <w:delText>B</w:delText>
        </w:r>
      </w:del>
      <w:r>
        <w:rPr/>
        <w:t xml:space="preserve">ees at </w:t>
      </w:r>
      <w:ins w:id="116" w:author="Jane Ogilvie" w:date="2023-03-01T23:18:00Z">
        <w:r>
          <w:rPr/>
          <w:t>the sites</w:t>
        </w:r>
      </w:ins>
      <w:del w:id="117" w:author="Jane Ogilvie" w:date="2023-03-01T23:18:00Z">
        <w:r>
          <w:rPr/>
          <w:delText>plots</w:delText>
        </w:r>
      </w:del>
      <w:r>
        <w:rPr/>
        <w:t xml:space="preserve">; the former inappropriate in that it contained a great number of species which we sought to use modelling to reduce </w:t>
      </w:r>
      <w:r>
        <w:rPr>
          <w:i/>
          <w:iCs/>
        </w:rPr>
        <w:t>e.g.</w:t>
      </w:r>
      <w:r>
        <w:rPr/>
        <w:t xml:space="preserve"> all strictly alpine species, and the latter inappropriate in that it contained only species relevant to </w:t>
      </w:r>
      <w:r>
        <w:rPr>
          <w:i/>
          <w:iCs/>
        </w:rPr>
        <w:t>Bombus</w:t>
      </w:r>
      <w:r>
        <w:rPr/>
        <w:t xml:space="preserve"> but had </w:t>
      </w:r>
      <w:commentRangeStart w:id="45"/>
      <w:r>
        <w:rPr/>
        <w:t xml:space="preserve">no official ‘absence’ data. </w:t>
      </w:r>
      <w:r>
        <w:rPr/>
      </w:r>
      <w:commentRangeEnd w:id="45"/>
      <w:r>
        <w:commentReference w:id="45"/>
      </w:r>
      <w:r>
        <w:rPr/>
        <w:t xml:space="preserve">Further given the, size of the minimum spanning tree which we extracted points to, a formal floristic inventory would still be a time intensive process. Accordingly, we expect the real results of our data lay somewhere in between these two evaluations; with an excess of species predicted present (Dubuis </w:t>
      </w:r>
      <w:r>
        <w:rPr>
          <w:i/>
          <w:iCs/>
        </w:rPr>
        <w:t>et al.</w:t>
      </w:r>
      <w:r>
        <w:rPr/>
        <w:t xml:space="preserve"> (</w:t>
      </w:r>
      <w:hyperlink w:anchor="ref-dubuis2011predicting">
        <w:r>
          <w:rPr>
            <w:rStyle w:val="InternetLink"/>
          </w:rPr>
          <w:t>2011</w:t>
        </w:r>
      </w:hyperlink>
      <w:r>
        <w:rPr/>
        <w:t xml:space="preserve">), Calabrese </w:t>
      </w:r>
      <w:r>
        <w:rPr>
          <w:i/>
          <w:iCs/>
        </w:rPr>
        <w:t>et al.</w:t>
      </w:r>
      <w:r>
        <w:rPr/>
        <w:t xml:space="preserve"> (</w:t>
      </w:r>
      <w:hyperlink w:anchor="ref-calabrese2014stacking">
        <w:r>
          <w:rPr>
            <w:rStyle w:val="InternetLink"/>
          </w:rPr>
          <w:t>2014</w:t>
        </w:r>
      </w:hyperlink>
      <w:r>
        <w:rPr/>
        <w:t>), Pinto-Ledezma &amp; Cavender-Bares (</w:t>
      </w:r>
      <w:hyperlink w:anchor="ref-pinto2021predicting">
        <w:r>
          <w:rPr>
            <w:rStyle w:val="InternetLink"/>
          </w:rPr>
          <w:t>2021</w:t>
        </w:r>
      </w:hyperlink>
      <w:r>
        <w:rPr/>
        <w:t>)), but few enough that they lend themselves to metabarcoding. We observe that our models seemed very capable of effectively identifying alpine species and removing them in binomial contexts. Difficulties in temporal models related to variability in drivers of flowering phenology. AND SMALL SAMPLE SIZE</w:t>
      </w:r>
    </w:p>
    <w:p>
      <w:pPr>
        <w:pStyle w:val="TextBody"/>
        <w:rPr/>
      </w:pPr>
      <w:commentRangeStart w:id="46"/>
      <w:r>
        <w:rPr/>
        <w:t xml:space="preserve">These </w:t>
      </w:r>
      <w:r>
        <w:rPr/>
      </w:r>
      <w:commentRangeEnd w:id="46"/>
      <w:r>
        <w:commentReference w:id="46"/>
      </w:r>
      <w:r>
        <w:rPr/>
        <w:t xml:space="preserve">results show that the overall results between </w:t>
      </w:r>
      <w:r>
        <w:rPr>
          <w:b/>
          <w:bCs/>
        </w:rPr>
        <w:t>Bumble Bee ecology</w:t>
      </w:r>
      <w:r>
        <w:rPr/>
        <w:t xml:space="preserve"> observational and barcoding are largely congruent. But that … We analyzed pollen loads from all of the most common bumble bee species in the area (Pyke (</w:t>
      </w:r>
      <w:hyperlink w:anchor="ref-pyke1982local">
        <w:r>
          <w:rPr>
            <w:rStyle w:val="InternetLink"/>
          </w:rPr>
          <w:t>1982</w:t>
        </w:r>
      </w:hyperlink>
      <w:r>
        <w:rPr/>
        <w:t>)) Future analyses of the long term data set…</w:t>
      </w:r>
    </w:p>
    <w:p>
      <w:pPr>
        <w:pStyle w:val="TextBody"/>
        <w:rPr/>
      </w:pPr>
      <w:r>
        <w:rPr/>
        <w:t xml:space="preserve">Results from palynological analyses show that several species of bee show near perfect fidelity to the genus </w:t>
      </w:r>
      <w:r>
        <w:rPr>
          <w:i/>
          <w:iCs/>
        </w:rPr>
        <w:t>Mertensia</w:t>
      </w:r>
      <w:r>
        <w:rPr/>
        <w:t xml:space="preserve"> on a per visit basis… General results show high congruence between foraging and molecular results, indicating that concerns regarding mismatch between observational networks need not persit with </w:t>
      </w:r>
      <w:r>
        <w:rPr>
          <w:i/>
          <w:iCs/>
        </w:rPr>
        <w:t>Bombus</w:t>
      </w:r>
      <w:r>
        <w:rPr/>
        <w:t xml:space="preserve"> studies…</w:t>
      </w:r>
    </w:p>
    <w:p>
      <w:pPr>
        <w:pStyle w:val="TextBody"/>
        <w:rPr/>
      </w:pPr>
      <w:r>
        <w:rPr/>
        <w:t xml:space="preserve">Some foraging preferences of </w:t>
      </w:r>
      <w:r>
        <w:rPr>
          <w:i/>
          <w:iCs/>
        </w:rPr>
        <w:t>Bombus</w:t>
      </w:r>
      <w:r>
        <w:rPr/>
        <w:t xml:space="preserve">, both at this field site and across a great many localities globally emerge from this work, which reiterates the needs for land managers to maintain relatively high amounts of members of the Fabaceae, Boraginaceae, and Ranunculaceae, in Western North American montane landscapes (Goulson </w:t>
      </w:r>
      <w:r>
        <w:rPr>
          <w:i/>
          <w:iCs/>
        </w:rPr>
        <w:t>et al.</w:t>
      </w:r>
      <w:r>
        <w:rPr/>
        <w:t xml:space="preserve"> (</w:t>
      </w:r>
      <w:hyperlink w:anchor="ref-goulson2005causes">
        <w:r>
          <w:rPr>
            <w:rStyle w:val="InternetLink"/>
          </w:rPr>
          <w:t>2005</w:t>
        </w:r>
      </w:hyperlink>
      <w:r>
        <w:rPr/>
        <w:t>), Goulson (</w:t>
      </w:r>
      <w:hyperlink w:anchor="ref-goulson2010bumblebees">
        <w:r>
          <w:rPr>
            <w:rStyle w:val="InternetLink"/>
          </w:rPr>
          <w:t>2010</w:t>
        </w:r>
      </w:hyperlink>
      <w:r>
        <w:rPr/>
        <w:t xml:space="preserve">), Liang </w:t>
      </w:r>
      <w:r>
        <w:rPr>
          <w:i/>
          <w:iCs/>
        </w:rPr>
        <w:t>et al.</w:t>
      </w:r>
      <w:r>
        <w:rPr/>
        <w:t xml:space="preserve"> (</w:t>
      </w:r>
      <w:hyperlink w:anchor="ref-liang2021evolutionary">
        <w:r>
          <w:rPr>
            <w:rStyle w:val="InternetLink"/>
          </w:rPr>
          <w:t>2021</w:t>
        </w:r>
      </w:hyperlink>
      <w:r>
        <w:rPr/>
        <w:t xml:space="preserve">), Bontsutsnaja </w:t>
      </w:r>
      <w:r>
        <w:rPr>
          <w:i/>
          <w:iCs/>
        </w:rPr>
        <w:t>et al.</w:t>
      </w:r>
      <w:r>
        <w:rPr/>
        <w:t xml:space="preserve"> (</w:t>
      </w:r>
      <w:hyperlink w:anchor="ref-bontvsutvsnaja2021bumble">
        <w:r>
          <w:rPr>
            <w:rStyle w:val="InternetLink"/>
          </w:rPr>
          <w:t>2021</w:t>
        </w:r>
      </w:hyperlink>
      <w:r>
        <w:rPr/>
        <w:t xml:space="preserve">)). Numerous historic, and some ongoing, land management practices reduce the ability of many landscapes to support stable populations of </w:t>
      </w:r>
      <w:r>
        <w:rPr>
          <w:i/>
          <w:iCs/>
        </w:rPr>
        <w:t>Bombus</w:t>
      </w:r>
      <w:r>
        <w:rPr/>
        <w:t xml:space="preserve">. Historic livestock grazing was often associated with the targeted removal of many species of plants which are known to have compounds toxic to cattle. In particular, the removal of locoweeds (Fabaceae: </w:t>
      </w:r>
      <w:r>
        <w:rPr>
          <w:i/>
          <w:iCs/>
        </w:rPr>
        <w:t>Astragalus</w:t>
      </w:r>
      <w:r>
        <w:rPr/>
        <w:t xml:space="preserve"> L. &amp; </w:t>
      </w:r>
      <w:r>
        <w:rPr>
          <w:i/>
          <w:iCs/>
        </w:rPr>
        <w:t>Oxytropis</w:t>
      </w:r>
      <w:r>
        <w:rPr/>
        <w:t xml:space="preserve"> DC.) and larkspurs (Ranunculaceae: </w:t>
      </w:r>
      <w:r>
        <w:rPr>
          <w:i/>
          <w:iCs/>
        </w:rPr>
        <w:t>Delphinium</w:t>
      </w:r>
      <w:r>
        <w:rPr/>
        <w:t>) were common across public lands administered by the United States Forest Service (Ralphs &amp; Ueckert (</w:t>
      </w:r>
      <w:hyperlink w:anchor="ref-ralphs1988herbicide">
        <w:r>
          <w:rPr>
            <w:rStyle w:val="InternetLink"/>
          </w:rPr>
          <w:t>1988</w:t>
        </w:r>
      </w:hyperlink>
      <w:r>
        <w:rPr/>
        <w:t>), Aldous (</w:t>
      </w:r>
      <w:hyperlink w:anchor="ref-aldous1919eradicating">
        <w:r>
          <w:rPr>
            <w:rStyle w:val="InternetLink"/>
          </w:rPr>
          <w:t>1919</w:t>
        </w:r>
      </w:hyperlink>
      <w:r>
        <w:rPr/>
        <w:t xml:space="preserve">), Ralphs </w:t>
      </w:r>
      <w:r>
        <w:rPr>
          <w:i/>
          <w:iCs/>
        </w:rPr>
        <w:t>et al.</w:t>
      </w:r>
      <w:r>
        <w:rPr/>
        <w:t xml:space="preserve"> (</w:t>
      </w:r>
      <w:hyperlink w:anchor="ref-ralphs2003mechanism">
        <w:r>
          <w:rPr>
            <w:rStyle w:val="InternetLink"/>
          </w:rPr>
          <w:t>2003</w:t>
        </w:r>
      </w:hyperlink>
      <w:r>
        <w:rPr/>
        <w:t xml:space="preserve">)). Further actions, generally initiated by early settlers, involved the channelization and incising of streams, culling of beavers, and leaving cattle concentrated on higher order stream banks for significant periods of time, all processes which lower the water tables and reduced the extent of stream-associated [riverine] wetlands and the mesic meadows fringes which provide habitat for many species of tall </w:t>
      </w:r>
      <w:r>
        <w:rPr>
          <w:i/>
          <w:iCs/>
        </w:rPr>
        <w:t>Mertensia</w:t>
      </w:r>
      <w:r>
        <w:rPr/>
        <w:t xml:space="preserve"> (Boraginaceae, e.g. </w:t>
      </w:r>
      <w:r>
        <w:rPr>
          <w:i/>
          <w:iCs/>
        </w:rPr>
        <w:t>M. ciliata</w:t>
      </w:r>
      <w:r>
        <w:rPr/>
        <w:t xml:space="preserve"> Torr. G. Don.) widely distributed across Western North America, and to an extent </w:t>
      </w:r>
      <w:r>
        <w:rPr>
          <w:i/>
          <w:iCs/>
        </w:rPr>
        <w:t>Delphinium barbeyi</w:t>
      </w:r>
      <w:r>
        <w:rPr/>
        <w:t xml:space="preserve"> and many species of native </w:t>
      </w:r>
      <w:r>
        <w:rPr>
          <w:i/>
          <w:iCs/>
        </w:rPr>
        <w:t>Trifolium</w:t>
      </w:r>
      <w:r>
        <w:rPr/>
        <w:t xml:space="preserve"> L. (Dahl (</w:t>
      </w:r>
      <w:hyperlink w:anchor="ref-dahl1990wetlands">
        <w:r>
          <w:rPr>
            <w:rStyle w:val="InternetLink"/>
          </w:rPr>
          <w:t>1990</w:t>
        </w:r>
      </w:hyperlink>
      <w:r>
        <w:rPr/>
        <w:t xml:space="preserve">), Naiman </w:t>
      </w:r>
      <w:r>
        <w:rPr>
          <w:i/>
          <w:iCs/>
        </w:rPr>
        <w:t>et al.</w:t>
      </w:r>
      <w:r>
        <w:rPr/>
        <w:t xml:space="preserve"> (</w:t>
      </w:r>
      <w:hyperlink w:anchor="ref-naiman1988alteration">
        <w:r>
          <w:rPr>
            <w:rStyle w:val="InternetLink"/>
          </w:rPr>
          <w:t>1988</w:t>
        </w:r>
      </w:hyperlink>
      <w:r>
        <w:rPr/>
        <w:t xml:space="preserve">), Belsky </w:t>
      </w:r>
      <w:r>
        <w:rPr>
          <w:i/>
          <w:iCs/>
        </w:rPr>
        <w:t>et al.</w:t>
      </w:r>
      <w:r>
        <w:rPr/>
        <w:t xml:space="preserve"> (</w:t>
      </w:r>
      <w:hyperlink w:anchor="ref-belsky1999survey">
        <w:r>
          <w:rPr>
            <w:rStyle w:val="InternetLink"/>
          </w:rPr>
          <w:t>1999</w:t>
        </w:r>
      </w:hyperlink>
      <w:r>
        <w:rPr/>
        <w:t>), Cooke &amp; Reeves (</w:t>
      </w:r>
      <w:hyperlink w:anchor="ref-cooke1976arroyos">
        <w:r>
          <w:rPr>
            <w:rStyle w:val="InternetLink"/>
          </w:rPr>
          <w:t>1976</w:t>
        </w:r>
      </w:hyperlink>
      <w:r>
        <w:rPr/>
        <w:t>)). Fire suppression further resulted in the succession of many Aspen (</w:t>
      </w:r>
      <w:r>
        <w:rPr>
          <w:i/>
          <w:iCs/>
        </w:rPr>
        <w:t>Populus tremuloides</w:t>
      </w:r>
      <w:r>
        <w:rPr/>
        <w:t xml:space="preserve"> Michx.) groves to Conifer stands, decreasing the mosaic of age structured habitats in many landscapes, adversely effects habitat for tall </w:t>
      </w:r>
      <w:r>
        <w:rPr>
          <w:i/>
          <w:iCs/>
        </w:rPr>
        <w:t>Mertensia</w:t>
      </w:r>
      <w:r>
        <w:rPr/>
        <w:t xml:space="preserve"> species and several species of </w:t>
      </w:r>
      <w:r>
        <w:rPr>
          <w:i/>
          <w:iCs/>
        </w:rPr>
        <w:t>Delphinium</w:t>
      </w:r>
      <w:r>
        <w:rPr/>
        <w:t xml:space="preserve"> (Brewen </w:t>
      </w:r>
      <w:r>
        <w:rPr>
          <w:i/>
          <w:iCs/>
        </w:rPr>
        <w:t>et al.</w:t>
      </w:r>
      <w:r>
        <w:rPr/>
        <w:t xml:space="preserve"> (</w:t>
      </w:r>
      <w:hyperlink w:anchor="ref-brewen202176">
        <w:r>
          <w:rPr>
            <w:rStyle w:val="InternetLink"/>
          </w:rPr>
          <w:t>2021</w:t>
        </w:r>
      </w:hyperlink>
      <w:r>
        <w:rPr/>
        <w:t>), Keane (</w:t>
      </w:r>
      <w:hyperlink w:anchor="ref-keane2002cascading">
        <w:r>
          <w:rPr>
            <w:rStyle w:val="InternetLink"/>
          </w:rPr>
          <w:t>2002</w:t>
        </w:r>
      </w:hyperlink>
      <w:r>
        <w:rPr/>
        <w:t xml:space="preserve">)). Finally the effects of Nitrogen deposition, especially given the West’s rapidly growing population still pose adverse effects on the abundance of a variety of species of Fabaceae at Urban-Rural interfaces (see Stevens </w:t>
      </w:r>
      <w:r>
        <w:rPr>
          <w:i/>
          <w:iCs/>
        </w:rPr>
        <w:t>et al.</w:t>
      </w:r>
      <w:r>
        <w:rPr/>
        <w:t xml:space="preserve"> (</w:t>
      </w:r>
      <w:hyperlink w:anchor="ref-stevens2018atmospheric">
        <w:r>
          <w:rPr>
            <w:rStyle w:val="InternetLink"/>
          </w:rPr>
          <w:t>2018</w:t>
        </w:r>
      </w:hyperlink>
      <w:r>
        <w:rPr/>
        <w:t xml:space="preserve">), Fenn </w:t>
      </w:r>
      <w:r>
        <w:rPr>
          <w:i/>
          <w:iCs/>
        </w:rPr>
        <w:t>et al.</w:t>
      </w:r>
      <w:r>
        <w:rPr/>
        <w:t xml:space="preserve"> (</w:t>
      </w:r>
      <w:hyperlink w:anchor="ref-fenn2003ecological">
        <w:r>
          <w:rPr>
            <w:rStyle w:val="InternetLink"/>
          </w:rPr>
          <w:t>2003</w:t>
        </w:r>
      </w:hyperlink>
      <w:r>
        <w:rPr/>
        <w:t xml:space="preserve">)). Current solutions to these issues, involve targeted burns, reintroduction of beavers and beaver habitat analogs, and the possibility of re-seeding a variety of ‘locoweeds’ and ‘larkspurs’ in areas now seldom used, or only used for early, grazing. The highly enthusiastic response of land managers, and homeowners, to plant </w:t>
      </w:r>
      <w:r>
        <w:rPr>
          <w:i/>
          <w:iCs/>
        </w:rPr>
        <w:t>Ascelpias</w:t>
      </w:r>
      <w:r>
        <w:rPr/>
        <w:t xml:space="preserve"> L., using genetically appropriate materials, to improve Monarch Butterfly (</w:t>
      </w:r>
      <w:r>
        <w:rPr>
          <w:i/>
          <w:iCs/>
        </w:rPr>
        <w:t>Danaus plexippus</w:t>
      </w:r>
      <w:r>
        <w:rPr/>
        <w:t xml:space="preserve"> L.) habitat provides an effective framework for the latter (Oberhauser </w:t>
      </w:r>
      <w:r>
        <w:rPr>
          <w:i/>
          <w:iCs/>
        </w:rPr>
        <w:t>et al.</w:t>
      </w:r>
      <w:r>
        <w:rPr/>
        <w:t xml:space="preserve"> (</w:t>
      </w:r>
      <w:hyperlink w:anchor="ref-oberhauser2015monarchs">
        <w:r>
          <w:rPr>
            <w:rStyle w:val="InternetLink"/>
          </w:rPr>
          <w:t>2015</w:t>
        </w:r>
      </w:hyperlink>
      <w:r>
        <w:rPr/>
        <w:t xml:space="preserve">), Basey </w:t>
      </w:r>
      <w:r>
        <w:rPr>
          <w:i/>
          <w:iCs/>
        </w:rPr>
        <w:t>et al.</w:t>
      </w:r>
      <w:r>
        <w:rPr/>
        <w:t xml:space="preserve"> (</w:t>
      </w:r>
      <w:hyperlink w:anchor="ref-basey2015producing">
        <w:r>
          <w:rPr>
            <w:rStyle w:val="InternetLink"/>
          </w:rPr>
          <w:t>2015</w:t>
        </w:r>
      </w:hyperlink>
      <w:r>
        <w:rPr/>
        <w:t>)).</w:t>
      </w:r>
    </w:p>
    <w:p>
      <w:pPr>
        <w:pStyle w:val="TextBody"/>
        <w:rPr/>
      </w:pPr>
      <w:r>
        <w:rPr/>
        <w:t xml:space="preserve">We have concerns regarding the number of persons training to become and practice botany, and grave concerns regarding the funding mechanisms for floristic and field based botanical research and for centralized authorities to produce consensus opinions on alpha taxonomy (Prather </w:t>
      </w:r>
      <w:r>
        <w:rPr>
          <w:i/>
          <w:iCs/>
        </w:rPr>
        <w:t>et al.</w:t>
      </w:r>
      <w:r>
        <w:rPr/>
        <w:t xml:space="preserve"> (</w:t>
      </w:r>
      <w:hyperlink w:anchor="ref-prather2004decline">
        <w:r>
          <w:rPr>
            <w:rStyle w:val="InternetLink"/>
          </w:rPr>
          <w:t>2004b</w:t>
        </w:r>
      </w:hyperlink>
      <w:r>
        <w:rPr/>
        <w:t>), Kramer &amp; Havens (</w:t>
      </w:r>
      <w:hyperlink w:anchor="ref-kramer2015report">
        <w:r>
          <w:rPr>
            <w:rStyle w:val="InternetLink"/>
          </w:rPr>
          <w:t>2015</w:t>
        </w:r>
      </w:hyperlink>
      <w:r>
        <w:rPr/>
        <w:t xml:space="preserve">), Prather </w:t>
      </w:r>
      <w:r>
        <w:rPr>
          <w:i/>
          <w:iCs/>
        </w:rPr>
        <w:t>et al.</w:t>
      </w:r>
      <w:r>
        <w:rPr/>
        <w:t xml:space="preserve"> (</w:t>
      </w:r>
      <w:hyperlink w:anchor="ref-prather2004implications">
        <w:r>
          <w:rPr>
            <w:rStyle w:val="InternetLink"/>
          </w:rPr>
          <w:t>2004a</w:t>
        </w:r>
      </w:hyperlink>
      <w:r>
        <w:rPr/>
        <w:t xml:space="preserve">), Crisci </w:t>
      </w:r>
      <w:r>
        <w:rPr>
          <w:i/>
          <w:iCs/>
        </w:rPr>
        <w:t>et al.</w:t>
      </w:r>
      <w:r>
        <w:rPr/>
        <w:t xml:space="preserve"> (</w:t>
      </w:r>
      <w:hyperlink w:anchor="ref-crisci2020end">
        <w:r>
          <w:rPr>
            <w:rStyle w:val="InternetLink"/>
          </w:rPr>
          <w:t>2020</w:t>
        </w:r>
      </w:hyperlink>
      <w:r>
        <w:rPr/>
        <w:t>), Manzano (</w:t>
      </w:r>
      <w:hyperlink w:anchor="ref-manzano2021flippant">
        <w:r>
          <w:rPr>
            <w:rStyle w:val="InternetLink"/>
          </w:rPr>
          <w:t>2021</w:t>
        </w:r>
      </w:hyperlink>
      <w:r>
        <w:rPr/>
        <w:t xml:space="preserve">), Stroud </w:t>
      </w:r>
      <w:r>
        <w:rPr>
          <w:i/>
          <w:iCs/>
        </w:rPr>
        <w:t>et al.</w:t>
      </w:r>
      <w:r>
        <w:rPr/>
        <w:t xml:space="preserve"> (</w:t>
      </w:r>
      <w:hyperlink w:anchor="ref-stroud2022botanical">
        <w:r>
          <w:rPr>
            <w:rStyle w:val="InternetLink"/>
          </w:rPr>
          <w:t>2022</w:t>
        </w:r>
      </w:hyperlink>
      <w:r>
        <w:rPr/>
        <w:t>)). To reduce the effects of a low population density of botanists on the maintenance of and production of Flora’s and to foster meta-genomics across landscapes without field stations we utilized Species Distribution Modelling to generate predictive species lists. In this proof-of-concept example we performed several iterations of modelling runs, and several approaches (i.e. the ‘linear models’, and the ‘machine learning’), which took notable amounts of compute power. We suspect the possible deleterious nature of this endeavor may be reduced by: 1) more field surveying by crews will reduce the need to generate as many species 2) fewer runs of models, 3) only running machine learning models which do not require an explicit</w:t>
      </w:r>
      <w:del w:id="118" w:author="Jane Ogilvie" w:date="2023-03-01T23:26:00Z">
        <w:r>
          <w:rPr/>
          <w:delText>ly</w:delText>
        </w:r>
      </w:del>
      <w:r>
        <w:rPr/>
        <w:t xml:space="preserve"> process to reduce spatial autocorrelation. However, given the time required to perform all aspects of a study, even our amount of computation was negligible. Further, we are very optimistic about the possibility for persons to perform these tasks, as mentioned we utilized roughly only one quarter of the records which were digitally available for presence, and we suspect others will have enough records to perform this process nearly anywhere else in the temperate</w:t>
      </w:r>
      <w:ins w:id="119" w:author="Jane Ogilvie" w:date="2023-03-01T23:27:00Z">
        <w:r>
          <w:rPr/>
          <w:t xml:space="preserve"> zone</w:t>
        </w:r>
      </w:ins>
      <w:r>
        <w:rPr/>
        <w:t xml:space="preserve">. In certain scenarios modelling of predicted species via more formally tailored S(tacked)-SDM or J(oint)-SDM approaches may be beneficial (Wilkinson </w:t>
      </w:r>
      <w:r>
        <w:rPr>
          <w:i/>
          <w:iCs/>
        </w:rPr>
        <w:t>et al.</w:t>
      </w:r>
      <w:r>
        <w:rPr/>
        <w:t xml:space="preserve"> (</w:t>
      </w:r>
      <w:hyperlink w:anchor="ref-wilkinson2021defining">
        <w:r>
          <w:rPr>
            <w:rStyle w:val="InternetLink"/>
          </w:rPr>
          <w:t>2021</w:t>
        </w:r>
      </w:hyperlink>
      <w:r>
        <w:rPr/>
        <w:t>), Pinto-Ledezma &amp; Cavender-Bares (</w:t>
      </w:r>
      <w:hyperlink w:anchor="ref-pinto2021predicting">
        <w:r>
          <w:rPr>
            <w:rStyle w:val="InternetLink"/>
          </w:rPr>
          <w:t>2021</w:t>
        </w:r>
      </w:hyperlink>
      <w:r>
        <w:rPr/>
        <w:t xml:space="preserve">), Schmitt </w:t>
      </w:r>
      <w:r>
        <w:rPr>
          <w:i/>
          <w:iCs/>
        </w:rPr>
        <w:t>et al.</w:t>
      </w:r>
      <w:r>
        <w:rPr/>
        <w:t xml:space="preserve"> (</w:t>
      </w:r>
      <w:hyperlink w:anchor="ref-schmitt2017ssdm">
        <w:r>
          <w:rPr>
            <w:rStyle w:val="InternetLink"/>
          </w:rPr>
          <w:t>2017</w:t>
        </w:r>
      </w:hyperlink>
      <w:r>
        <w:rPr/>
        <w:t>)).</w:t>
      </w:r>
    </w:p>
    <w:p>
      <w:pPr>
        <w:pStyle w:val="TextBody"/>
        <w:rPr/>
      </w:pPr>
      <w:r>
        <w:rPr/>
        <w:t xml:space="preserve">Tandem to the lack of continued expertise required to generate and maintain species lists, is the expertise required to continue tracking when major phenological events occur in many plant species at relatively fine scales or under novel climates. Knowledge of these events is currently limited to general time periods of only a handful of phenological events and groups of organisms (e.g. flowering initiation, or trees) (Prather </w:t>
      </w:r>
      <w:r>
        <w:rPr>
          <w:i/>
          <w:iCs/>
        </w:rPr>
        <w:t>et al.</w:t>
      </w:r>
      <w:r>
        <w:rPr/>
        <w:t xml:space="preserve"> (</w:t>
      </w:r>
      <w:hyperlink w:anchor="ref-prather2004implications">
        <w:r>
          <w:rPr>
            <w:rStyle w:val="InternetLink"/>
          </w:rPr>
          <w:t>2004a</w:t>
        </w:r>
      </w:hyperlink>
      <w:r>
        <w:rPr/>
        <w:t xml:space="preserve">), Li </w:t>
      </w:r>
      <w:r>
        <w:rPr>
          <w:i/>
          <w:iCs/>
        </w:rPr>
        <w:t>et al.</w:t>
      </w:r>
      <w:r>
        <w:rPr/>
        <w:t xml:space="preserve"> (</w:t>
      </w:r>
      <w:hyperlink w:anchor="ref-li2016responses">
        <w:r>
          <w:rPr>
            <w:rStyle w:val="InternetLink"/>
          </w:rPr>
          <w:t>2016</w:t>
        </w:r>
      </w:hyperlink>
      <w:r>
        <w:rPr/>
        <w:t xml:space="preserve">)). While many programs and initiatives exist to collect phenological information on subsets of easily identifiable charismatic species to detect major trends in phenology, these capture only a subset of the extent diversity (Betancourt </w:t>
      </w:r>
      <w:r>
        <w:rPr>
          <w:i/>
          <w:iCs/>
        </w:rPr>
        <w:t>et al.</w:t>
      </w:r>
      <w:r>
        <w:rPr/>
        <w:t xml:space="preserve"> (</w:t>
      </w:r>
      <w:hyperlink w:anchor="ref-betancourt2005implementing">
        <w:r>
          <w:rPr>
            <w:rStyle w:val="InternetLink"/>
          </w:rPr>
          <w:t>2005</w:t>
        </w:r>
      </w:hyperlink>
      <w:r>
        <w:rPr/>
        <w:t xml:space="preserve">), Havens </w:t>
      </w:r>
      <w:r>
        <w:rPr>
          <w:i/>
          <w:iCs/>
        </w:rPr>
        <w:t>et al.</w:t>
      </w:r>
      <w:r>
        <w:rPr/>
        <w:t xml:space="preserve"> (</w:t>
      </w:r>
      <w:hyperlink w:anchor="ref-havens2007chicago">
        <w:r>
          <w:rPr>
            <w:rStyle w:val="InternetLink"/>
          </w:rPr>
          <w:t>2007</w:t>
        </w:r>
      </w:hyperlink>
      <w:r>
        <w:rPr/>
        <w:t>)). In many instances it appears that while landscapes respond similarly to environmental variables which predict phenological responses, that individual species vary widely in their responses to similar environmental cues, or respond to different cues (Augspurger &amp; Zaya (</w:t>
      </w:r>
      <w:hyperlink w:anchor="ref-augspurger2020concordance">
        <w:r>
          <w:rPr>
            <w:rStyle w:val="InternetLink"/>
          </w:rPr>
          <w:t>2020</w:t>
        </w:r>
      </w:hyperlink>
      <w:r>
        <w:rPr/>
        <w:t xml:space="preserve">), Xie </w:t>
      </w:r>
      <w:r>
        <w:rPr>
          <w:i/>
          <w:iCs/>
        </w:rPr>
        <w:t>et al.</w:t>
      </w:r>
      <w:r>
        <w:rPr/>
        <w:t xml:space="preserve"> (</w:t>
      </w:r>
      <w:hyperlink w:anchor="ref-xie2015deciduous">
        <w:r>
          <w:rPr>
            <w:rStyle w:val="InternetLink"/>
          </w:rPr>
          <w:t>2015</w:t>
        </w:r>
      </w:hyperlink>
      <w:r>
        <w:rPr/>
        <w:t xml:space="preserve">), Xie </w:t>
      </w:r>
      <w:r>
        <w:rPr>
          <w:i/>
          <w:iCs/>
        </w:rPr>
        <w:t>et al.</w:t>
      </w:r>
      <w:r>
        <w:rPr/>
        <w:t xml:space="preserve"> (</w:t>
      </w:r>
      <w:hyperlink w:anchor="ref-xie2018predicting">
        <w:r>
          <w:rPr>
            <w:rStyle w:val="InternetLink"/>
          </w:rPr>
          <w:t>2018</w:t>
        </w:r>
      </w:hyperlink>
      <w:r>
        <w:rPr/>
        <w:t xml:space="preserve">), CaraDonna </w:t>
      </w:r>
      <w:r>
        <w:rPr>
          <w:i/>
          <w:iCs/>
        </w:rPr>
        <w:t>et al.</w:t>
      </w:r>
      <w:r>
        <w:rPr/>
        <w:t xml:space="preserve"> (</w:t>
      </w:r>
      <w:hyperlink w:anchor="ref-caradonna2014shifts">
        <w:r>
          <w:rPr>
            <w:rStyle w:val="InternetLink"/>
          </w:rPr>
          <w:t>2014</w:t>
        </w:r>
      </w:hyperlink>
      <w:r>
        <w:rPr/>
        <w:t xml:space="preserve">)). As can be seen here, predictions of when a single, major phenological event occurs is already data limited. A more promising approach for the tropics may lay in utilizing circular statistics (Park </w:t>
      </w:r>
      <w:r>
        <w:rPr>
          <w:i/>
          <w:iCs/>
        </w:rPr>
        <w:t>et al.</w:t>
      </w:r>
      <w:r>
        <w:rPr/>
        <w:t xml:space="preserve"> (</w:t>
      </w:r>
      <w:hyperlink w:anchor="ref-park2022herbarium">
        <w:r>
          <w:rPr>
            <w:rStyle w:val="InternetLink"/>
          </w:rPr>
          <w:t>2022</w:t>
        </w:r>
      </w:hyperlink>
      <w:r>
        <w:rPr/>
        <w:t>)).</w:t>
      </w:r>
    </w:p>
    <w:p>
      <w:pPr>
        <w:pStyle w:val="TextBody"/>
        <w:rPr/>
      </w:pPr>
      <w:r>
        <w:rPr/>
        <w:t xml:space="preserve">The nearly complete Plant and Fungal Tree of Life (PAFTOL) will provide a comprehensive phylogenetic backbone of the entire plant kingdom, and the inclusion of A353 probes with lineage specific probe sets is common in producing massive genetic datasets (Baker </w:t>
      </w:r>
      <w:r>
        <w:rPr>
          <w:i/>
          <w:iCs/>
        </w:rPr>
        <w:t>et al.</w:t>
      </w:r>
      <w:r>
        <w:rPr/>
        <w:t xml:space="preserve"> (</w:t>
      </w:r>
      <w:hyperlink w:anchor="ref-baker2021exploring">
        <w:r>
          <w:rPr>
            <w:rStyle w:val="InternetLink"/>
          </w:rPr>
          <w:t>2021b</w:t>
        </w:r>
      </w:hyperlink>
      <w:r>
        <w:rPr/>
        <w:t xml:space="preserve">)). We predict that the A353 probes which it is utilizing to work nearly immediately for DNA barcoding of whole plant material, and that more elaborate validation studies in controlled metabarcoding settings, utilizing existing experimental designs, will have favorable results (Bell </w:t>
      </w:r>
      <w:r>
        <w:rPr>
          <w:i/>
          <w:iCs/>
        </w:rPr>
        <w:t>et al.</w:t>
      </w:r>
      <w:r>
        <w:rPr/>
        <w:t xml:space="preserve"> (</w:t>
      </w:r>
      <w:hyperlink w:anchor="ref-bell2017applying">
        <w:r>
          <w:rPr>
            <w:rStyle w:val="InternetLink"/>
          </w:rPr>
          <w:t>2017</w:t>
        </w:r>
      </w:hyperlink>
      <w:r>
        <w:rPr/>
        <w:t xml:space="preserve">), Bell </w:t>
      </w:r>
      <w:r>
        <w:rPr>
          <w:i/>
          <w:iCs/>
        </w:rPr>
        <w:t>et al.</w:t>
      </w:r>
      <w:r>
        <w:rPr/>
        <w:t xml:space="preserve"> (</w:t>
      </w:r>
      <w:hyperlink w:anchor="ref-bell2019quantitative">
        <w:r>
          <w:rPr>
            <w:rStyle w:val="InternetLink"/>
          </w:rPr>
          <w:t>2019</w:t>
        </w:r>
      </w:hyperlink>
      <w:r>
        <w:rPr/>
        <w:t xml:space="preserve">), Bell </w:t>
      </w:r>
      <w:r>
        <w:rPr>
          <w:i/>
          <w:iCs/>
        </w:rPr>
        <w:t>et al.</w:t>
      </w:r>
      <w:r>
        <w:rPr/>
        <w:t xml:space="preserve"> (</w:t>
      </w:r>
      <w:hyperlink w:anchor="ref-bell2021comparing">
        <w:r>
          <w:rPr>
            <w:rStyle w:val="InternetLink"/>
          </w:rPr>
          <w:t>2021</w:t>
        </w:r>
      </w:hyperlink>
      <w:r>
        <w:rPr/>
        <w:t xml:space="preserve">), Lamb </w:t>
      </w:r>
      <w:r>
        <w:rPr>
          <w:i/>
          <w:iCs/>
        </w:rPr>
        <w:t>et al.</w:t>
      </w:r>
      <w:r>
        <w:rPr/>
        <w:t xml:space="preserve"> (</w:t>
      </w:r>
      <w:hyperlink w:anchor="ref-lamb2019quantitative">
        <w:r>
          <w:rPr>
            <w:rStyle w:val="InternetLink"/>
          </w:rPr>
          <w:t>2019</w:t>
        </w:r>
      </w:hyperlink>
      <w:r>
        <w:rPr/>
        <w:t xml:space="preserve">)). In particular the harvesting of loci with more variation in certain lineages, and or with more variable flanking regions, will prove promising for identifying closely related plant material (CITE). We suspect that conserved reaches of genes resulted in the high amounts of reads in somewhat obscure species. Given that the A353 loci are nuclear, single copy, and a variety are present the possibility of identifying target loci for quantitative purposes is high, without continual PCR enrichment is possible; this would align with relatively high efficacy of WGS (Lang </w:t>
      </w:r>
      <w:r>
        <w:rPr>
          <w:i/>
          <w:iCs/>
        </w:rPr>
        <w:t>et al.</w:t>
      </w:r>
      <w:r>
        <w:rPr/>
        <w:t xml:space="preserve"> (</w:t>
      </w:r>
      <w:hyperlink w:anchor="ref-lang2019genome">
        <w:r>
          <w:rPr>
            <w:rStyle w:val="InternetLink"/>
          </w:rPr>
          <w:t>2019</w:t>
        </w:r>
      </w:hyperlink>
      <w:r>
        <w:rPr/>
        <w:t xml:space="preserve">), Peel </w:t>
      </w:r>
      <w:r>
        <w:rPr>
          <w:i/>
          <w:iCs/>
        </w:rPr>
        <w:t>et al.</w:t>
      </w:r>
      <w:r>
        <w:rPr/>
        <w:t xml:space="preserve"> (</w:t>
      </w:r>
      <w:hyperlink w:anchor="ref-peel2019semi">
        <w:r>
          <w:rPr>
            <w:rStyle w:val="InternetLink"/>
          </w:rPr>
          <w:t>2019</w:t>
        </w:r>
      </w:hyperlink>
      <w:r>
        <w:rPr/>
        <w:t xml:space="preserve">), Bell </w:t>
      </w:r>
      <w:r>
        <w:rPr>
          <w:i/>
          <w:iCs/>
        </w:rPr>
        <w:t>et al.</w:t>
      </w:r>
      <w:r>
        <w:rPr/>
        <w:t xml:space="preserve"> (</w:t>
      </w:r>
      <w:hyperlink w:anchor="ref-bell2021comparing">
        <w:r>
          <w:rPr>
            <w:rStyle w:val="InternetLink"/>
          </w:rPr>
          <w:t>2021</w:t>
        </w:r>
      </w:hyperlink>
      <w:r>
        <w:rPr/>
        <w:t xml:space="preserve">)). Recent evidence indicates that the potential for identifying nearly cryptic taxa and even infra-specific inference, of either whole plant material, and perhaps in metagenomic context are possible (Ottenlips </w:t>
      </w:r>
      <w:r>
        <w:rPr>
          <w:i/>
          <w:iCs/>
        </w:rPr>
        <w:t>et al.</w:t>
      </w:r>
      <w:r>
        <w:rPr/>
        <w:t xml:space="preserve"> (</w:t>
      </w:r>
      <w:hyperlink w:anchor="ref-ottenlips2021resolving">
        <w:r>
          <w:rPr>
            <w:rStyle w:val="InternetLink"/>
          </w:rPr>
          <w:t>2021</w:t>
        </w:r>
      </w:hyperlink>
      <w:r>
        <w:rPr/>
        <w:t xml:space="preserve">), Wenzell </w:t>
      </w:r>
      <w:r>
        <w:rPr>
          <w:i/>
          <w:iCs/>
        </w:rPr>
        <w:t>et al.</w:t>
      </w:r>
      <w:r>
        <w:rPr/>
        <w:t xml:space="preserve"> (</w:t>
      </w:r>
      <w:hyperlink w:anchor="ref-wenzell2021incomplete">
        <w:r>
          <w:rPr>
            <w:rStyle w:val="InternetLink"/>
          </w:rPr>
          <w:t>2021</w:t>
        </w:r>
      </w:hyperlink>
      <w:r>
        <w:rPr/>
        <w:t xml:space="preserve">), Loke et al. in prep, Slimp </w:t>
      </w:r>
      <w:r>
        <w:rPr>
          <w:i/>
          <w:iCs/>
        </w:rPr>
        <w:t>et al.</w:t>
      </w:r>
      <w:r>
        <w:rPr/>
        <w:t xml:space="preserve"> (</w:t>
      </w:r>
      <w:hyperlink w:anchor="ref-slimp2021potential">
        <w:r>
          <w:rPr>
            <w:rStyle w:val="InternetLink"/>
          </w:rPr>
          <w:t>2021</w:t>
        </w:r>
      </w:hyperlink>
      <w:r>
        <w:rPr/>
        <w:t xml:space="preserve">), Beck </w:t>
      </w:r>
      <w:r>
        <w:rPr>
          <w:i/>
          <w:iCs/>
        </w:rPr>
        <w:t>et al.</w:t>
      </w:r>
      <w:r>
        <w:rPr/>
        <w:t xml:space="preserve"> (</w:t>
      </w:r>
      <w:hyperlink w:anchor="ref-beck2021palmer">
        <w:r>
          <w:rPr>
            <w:rStyle w:val="InternetLink"/>
          </w:rPr>
          <w:t>2021</w:t>
        </w:r>
      </w:hyperlink>
      <w:r>
        <w:rPr/>
        <w:t xml:space="preserve">)). We further believe that in synthetic phylogenetic trees - with incorporation of NGS backbones - will allow in automatic reassignment of reads as a function of phylogenetic distance with measures of uncertainty (Hinchliff </w:t>
      </w:r>
      <w:r>
        <w:rPr>
          <w:i/>
          <w:iCs/>
        </w:rPr>
        <w:t>et al.</w:t>
      </w:r>
      <w:r>
        <w:rPr/>
        <w:t xml:space="preserve"> (</w:t>
      </w:r>
      <w:hyperlink w:anchor="ref-hinchliff2015synthesis">
        <w:r>
          <w:rPr>
            <w:rStyle w:val="InternetLink"/>
          </w:rPr>
          <w:t>2015</w:t>
        </w:r>
      </w:hyperlink>
      <w:r>
        <w:rPr/>
        <w:t>), Smith &amp; Brown (</w:t>
      </w:r>
      <w:hyperlink w:anchor="ref-smith2018constructing">
        <w:r>
          <w:rPr>
            <w:rStyle w:val="InternetLink"/>
          </w:rPr>
          <w:t>2018</w:t>
        </w:r>
      </w:hyperlink>
      <w:r>
        <w:rPr/>
        <w:t xml:space="preserve">), Baker </w:t>
      </w:r>
      <w:r>
        <w:rPr>
          <w:i/>
          <w:iCs/>
        </w:rPr>
        <w:t>et al.</w:t>
      </w:r>
      <w:r>
        <w:rPr/>
        <w:t xml:space="preserve"> (</w:t>
      </w:r>
      <w:hyperlink w:anchor="ref-baker2021PAFTOL">
        <w:r>
          <w:rPr>
            <w:rStyle w:val="InternetLink"/>
          </w:rPr>
          <w:t>2021a</w:t>
        </w:r>
      </w:hyperlink>
      <w:r>
        <w:rPr/>
        <w:t>)).</w:t>
      </w:r>
      <w:bookmarkEnd w:id="33"/>
    </w:p>
    <w:p>
      <w:pPr>
        <w:pStyle w:val="Heading1"/>
        <w:rPr/>
      </w:pPr>
      <w:bookmarkStart w:id="34" w:name="conclusion"/>
      <w:r>
        <w:rPr/>
        <w:t>5 | CONCLUSION</w:t>
      </w:r>
    </w:p>
    <w:p>
      <w:pPr>
        <w:pStyle w:val="FirstParagraph"/>
        <w:rPr/>
      </w:pPr>
      <w:r>
        <w:rPr/>
        <w:t>We believe that the combination of spatial and temporal models, united and guided by localized natural history knowledge, provides the essential components of a bayesian framework for approaching the coarse elucidation of ecological interactions using DNA Barcoding. Herein we crudely utilized this thinking via binary outcomes, should a species predicted be predicted present or not? Is it unequivocally flowering or not? Myriad data show biological systems and ecological interactions have more variance than can be reasonably discretely parsed. We expect that within a bayesian framework studies of pollinator behavior may be enacted via this approach at a landscape level, e.g. the scale of an entire drainage basin such as the Gunnison which is quickly becoming one of the worlds few model ecosystems. We hope that the promise of A353 probes as tools for metabarcoding play a role in these endeavors.</w:t>
      </w:r>
    </w:p>
    <w:p>
      <w:pPr>
        <w:pStyle w:val="TextBody"/>
        <w:rPr/>
      </w:pPr>
      <w:r>
        <w:rPr>
          <w:b/>
          <w:bCs/>
        </w:rPr>
        <w:t>AUTHOR CONTRIBUTIONS:</w:t>
      </w:r>
      <w:r>
        <w:rPr/>
        <w:t xml:space="preserve"> R.C.B conducted botanical collections, conducted all molecular lab work, lead all analyses, and writing. J.E.O conceived, designed, and conducted all ecological fieldwork, assisted with analyses, and writing. E.J.W. prepared, imaged, and collected trait data on pollen reference slides, and assisted with analysis of trait data and writing a dichotomous key. S.T. assisted with spatial analyses and writing. P.J.C assisted with ecological analyses and writing. J.B.F. conceived, and designed all lab work, analyses, and integration of approaches, assisted with writing, and secured funding for molecular work.</w:t>
      </w:r>
    </w:p>
    <w:p>
      <w:pPr>
        <w:pStyle w:val="TextBody"/>
        <w:rPr/>
      </w:pPr>
      <w:r>
        <w:rPr>
          <w:b/>
          <w:bCs/>
        </w:rPr>
        <w:t>ACKNOWLEDGMENTS:</w:t>
      </w:r>
      <w:r>
        <w:rPr/>
        <w:t xml:space="preserve"> Nyree Zerega for assistance obtaining herbaria loans and accessioning our collections at CHIC. Pat Herendeen for assistance with virtually all aspects of preparing pollen vouchers and the identification process. Hilary Noble, Zoe Diaz-Martinez, Angela McDonnell, &amp; Elena Loke for assistance with genomic library preparation. Ian Breckheimer for sharing the SDM predictor variables. We thank the curators at the following herbaria for supplying tissue: Ben Legler at Stillinger (ID), Charles (Rick) Williams at Ray J. Davis (IDS), (B)Ernie Nelson at Rocky Mountain (RM); and the collectors: D. Knoke, L. Brummer, J. Boyd, C. Davidson, I. Gilman, M. Kirkpatrick, S. McCauley, J. Smith, K. Taylor, &amp; C. Williams. David Giblin &amp; Mare Nazaire for sharing relevant sections of an advanced draft of FNA V. 15. The Bureau of Land Management is thanked as many plant specimens were collected by R.C.B as a partner or contractor to the agency; Sarah Burnett and Lauren Price are thanked for sharing AIM data. Sanda and New England Biotech are gratefully acknowledged for technical support and generously sharing samples. T.C.H. Cole for sharing the Angiosperm Phylogeny 4 colour palette. The Program in Plant Biology and Conservation is thanked for funding. The holdings of the following herbaria were essential for this project: AK, ALTA, ASU, BABY, BC, BM, BMO, BOON, BRIT, CANB, CAS, CHSC, CM, CMN, CNS, COLO, CONN, CS, CSU, DAV, DBG, DES, ENCB, F, FR, G, GH, GZU, IAC, K, KR, KSP, KSTC, KU, LD, LOB, LSU, MA, MACF, MEL, MICH, MIL, MIN, MNHN, MO, MO, MT, MW, NCSC, NSW, NY, NYBG, O, OBI, PI, RBG, RSA, SD, SDSU, SFV, TENN, TRT, UA, UAC, UAM, UAZ, UBC, UBC, UCR, UCS, UCSB, UMO, UNM, UPS, US, USCH, USF, USU, UTEP, UWBM, V, VT, W, WSCO, WU, XAL, YPM, Z.</w:t>
      </w:r>
    </w:p>
    <w:p>
      <w:pPr>
        <w:pStyle w:val="TextBody"/>
        <w:rPr/>
      </w:pPr>
      <w:r>
        <w:rPr>
          <w:b/>
          <w:bCs/>
        </w:rPr>
        <w:t>CONFLICT OF INTERESTS</w:t>
      </w:r>
      <w:r>
        <w:rPr/>
        <w:t xml:space="preserve"> The authors declare no conflicts of interest.</w:t>
      </w:r>
    </w:p>
    <w:p>
      <w:pPr>
        <w:pStyle w:val="TextBody"/>
        <w:rPr/>
      </w:pPr>
      <w:r>
        <w:rPr>
          <w:b/>
          <w:bCs/>
        </w:rPr>
        <w:t>PEER REVIEW</w:t>
      </w:r>
      <w:r>
        <w:rPr/>
        <w:t xml:space="preserve"> The peer review history for this document is available at …</w:t>
      </w:r>
    </w:p>
    <w:p>
      <w:pPr>
        <w:pStyle w:val="TextBody"/>
        <w:rPr/>
      </w:pPr>
      <w:r>
        <w:rPr>
          <w:b/>
          <w:bCs/>
        </w:rPr>
        <w:t>DATA AVAILABILITY STATEMENT</w:t>
      </w:r>
      <w:r>
        <w:rPr/>
        <w:t xml:space="preserve"> The queries required to download all data used in this project are located in… All novel sequencing data are located at NCBI…</w:t>
      </w:r>
    </w:p>
    <w:p>
      <w:pPr>
        <w:pStyle w:val="TextBody"/>
        <w:rPr/>
      </w:pPr>
      <w:r>
        <w:rPr>
          <w:b/>
          <w:bCs/>
        </w:rPr>
        <w:t>ORCID</w:t>
      </w:r>
    </w:p>
    <w:p>
      <w:pPr>
        <w:pStyle w:val="TextBody"/>
        <w:rPr/>
      </w:pPr>
      <w:r>
        <w:rPr/>
        <w:t xml:space="preserve">Paul CaraDonna </w:t>
      </w:r>
      <w:hyperlink r:id="rId7">
        <w:r>
          <w:rPr>
            <w:rStyle w:val="InternetLink"/>
          </w:rPr>
          <w:t>https://orcid.org/0000-0003-3517-9090</w:t>
        </w:r>
      </w:hyperlink>
      <w:r>
        <w:rPr/>
        <w:br/>
        <w:t xml:space="preserve">Jeremie Fant </w:t>
      </w:r>
      <w:hyperlink r:id="rId8">
        <w:r>
          <w:rPr>
            <w:rStyle w:val="InternetLink"/>
          </w:rPr>
          <w:t>https://orcid.org/0000-0001-9276-1111</w:t>
        </w:r>
      </w:hyperlink>
      <w:r>
        <w:rPr/>
        <w:br/>
        <w:t xml:space="preserve">Jane Ogilvie </w:t>
      </w:r>
      <w:hyperlink r:id="rId9">
        <w:r>
          <w:rPr>
            <w:rStyle w:val="InternetLink"/>
          </w:rPr>
          <w:t>https://orcid.org/0000-0001-8546-0417</w:t>
        </w:r>
      </w:hyperlink>
      <w:r>
        <w:rPr/>
        <w:br/>
        <w:t xml:space="preserve">Sophie Taddeo </w:t>
      </w:r>
      <w:hyperlink r:id="rId10">
        <w:r>
          <w:rPr>
            <w:rStyle w:val="InternetLink"/>
          </w:rPr>
          <w:t>https://orcid.org/0000-0002-7789-1417</w:t>
        </w:r>
      </w:hyperlink>
      <w:bookmarkEnd w:id="34"/>
    </w:p>
    <w:p>
      <w:pPr>
        <w:pStyle w:val="Heading1"/>
        <w:rPr/>
      </w:pPr>
      <w:bookmarkStart w:id="35" w:name="references"/>
      <w:r>
        <w:rPr/>
        <w:t>References</w:t>
      </w:r>
      <w:bookmarkEnd w:id="35"/>
    </w:p>
    <w:p>
      <w:pPr>
        <w:pStyle w:val="Heading1"/>
        <w:rPr/>
      </w:pPr>
      <w:r>
        <w:rPr/>
        <w:t>Supporting</w:t>
      </w:r>
    </w:p>
    <w:p>
      <w:pPr>
        <w:pStyle w:val="Normal"/>
        <w:rPr/>
      </w:pPr>
      <w:r>
        <w:rPr/>
      </w:r>
      <w:r>
        <w:br w:type="page"/>
      </w:r>
    </w:p>
    <w:p>
      <w:pPr>
        <w:pStyle w:val="FirstParagraph"/>
        <w:rPr/>
      </w:pPr>
      <w:r>
        <w:rPr/>
        <w:t>Appendix 1 - Site Maps</w:t>
      </w:r>
    </w:p>
    <w:p>
      <w:pPr>
        <w:pStyle w:val="TextBody"/>
        <w:rPr/>
      </w:pPr>
      <w:r>
        <w:rPr/>
        <w:drawing>
          <wp:inline distT="0" distB="0" distL="0" distR="0">
            <wp:extent cx="5334000" cy="4044950"/>
            <wp:effectExtent l="0" t="0" r="0" b="0"/>
            <wp:docPr id="6"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 descr=""/>
                    <pic:cNvPicPr>
                      <a:picLocks noChangeAspect="1" noChangeArrowheads="1"/>
                    </pic:cNvPicPr>
                  </pic:nvPicPr>
                  <pic:blipFill>
                    <a:blip r:embed="rId11"/>
                    <a:stretch>
                      <a:fillRect/>
                    </a:stretch>
                  </pic:blipFill>
                  <pic:spPr bwMode="auto">
                    <a:xfrm>
                      <a:off x="0" y="0"/>
                      <a:ext cx="5334000" cy="4044950"/>
                    </a:xfrm>
                    <a:prstGeom prst="rect">
                      <a:avLst/>
                    </a:prstGeom>
                  </pic:spPr>
                </pic:pic>
              </a:graphicData>
            </a:graphic>
          </wp:inline>
        </w:drawing>
      </w:r>
    </w:p>
    <w:p>
      <w:pPr>
        <w:pStyle w:val="Normal"/>
        <w:rPr/>
      </w:pPr>
      <w:r>
        <w:rPr/>
      </w:r>
      <w:r>
        <w:br w:type="page"/>
      </w:r>
    </w:p>
    <w:p>
      <w:pPr>
        <w:pStyle w:val="TextBody"/>
        <w:rPr/>
      </w:pPr>
      <w:r>
        <w:rPr/>
        <w:t>Appendix 2 - Species Distribution Models Predictors</w:t>
      </w:r>
    </w:p>
    <w:tbl>
      <w:tblPr>
        <w:tblStyle w:val="Table"/>
        <w:tblW w:w="7920" w:type="dxa"/>
        <w:jc w:val="left"/>
        <w:tblInd w:w="0" w:type="dxa"/>
        <w:tblLayout w:type="fixed"/>
        <w:tblCellMar>
          <w:top w:w="0" w:type="dxa"/>
          <w:left w:w="108" w:type="dxa"/>
          <w:bottom w:w="0" w:type="dxa"/>
          <w:right w:w="108" w:type="dxa"/>
        </w:tblCellMar>
        <w:tblLook w:val="0020" w:noHBand="0" w:noVBand="0" w:firstColumn="0" w:lastRow="0" w:lastColumn="0" w:firstRow="1"/>
      </w:tblPr>
      <w:tblGrid>
        <w:gridCol w:w="1980"/>
        <w:gridCol w:w="1980"/>
        <w:gridCol w:w="1980"/>
        <w:gridCol w:w="1979"/>
      </w:tblGrid>
      <w:tr>
        <w:trPr>
          <w:tblHeader w:val="true"/>
          <w:cnfStyle w:val="100000000000" w:firstRow="1" w:lastRow="0" w:firstColumn="0" w:lastColumn="0" w:oddVBand="0" w:evenVBand="0" w:oddHBand="0" w:evenHBand="0" w:firstRowFirstColumn="0" w:firstRowLastColumn="0" w:lastRowFirstColumn="0" w:lastRowLastColumn="0"/>
        </w:trPr>
        <w:tc>
          <w:tcPr>
            <w:tcW w:w="1980" w:type="dxa"/>
            <w:tcBorders>
              <w:bottom w:val="single" w:sz="6" w:space="0" w:color="000000"/>
            </w:tcBorders>
            <w:vAlign w:val="bottom"/>
          </w:tcPr>
          <w:p>
            <w:pPr>
              <w:pStyle w:val="Compact"/>
              <w:widowControl w:val="false"/>
              <w:suppressAutoHyphens w:val="true"/>
              <w:spacing w:before="36" w:after="36"/>
              <w:jc w:val="left"/>
              <w:rPr>
                <w:rFonts w:ascii="Cambria" w:hAnsi="Cambria" w:eastAsia="Cambria"/>
              </w:rPr>
            </w:pPr>
            <w:r>
              <w:rPr>
                <w:rFonts w:eastAsia="Cambria" w:cs=""/>
                <w:kern w:val="0"/>
                <w:sz w:val="24"/>
                <w:szCs w:val="24"/>
                <w:lang w:val="en-US" w:eastAsia="en-US" w:bidi="ar-SA"/>
              </w:rPr>
              <w:t>Layer</w:t>
            </w:r>
          </w:p>
        </w:tc>
        <w:tc>
          <w:tcPr>
            <w:tcW w:w="1980" w:type="dxa"/>
            <w:tcBorders>
              <w:bottom w:val="single" w:sz="6" w:space="0" w:color="000000"/>
            </w:tcBorders>
            <w:vAlign w:val="bottom"/>
          </w:tcPr>
          <w:p>
            <w:pPr>
              <w:pStyle w:val="Compact"/>
              <w:widowControl w:val="false"/>
              <w:suppressAutoHyphens w:val="true"/>
              <w:spacing w:before="36" w:after="36"/>
              <w:jc w:val="center"/>
              <w:rPr>
                <w:rFonts w:ascii="Cambria" w:hAnsi="Cambria" w:eastAsia="Cambria"/>
              </w:rPr>
            </w:pPr>
            <w:r>
              <w:rPr>
                <w:rFonts w:eastAsia="Cambria" w:cs=""/>
                <w:kern w:val="0"/>
                <w:sz w:val="24"/>
                <w:szCs w:val="24"/>
                <w:lang w:val="en-US" w:eastAsia="en-US" w:bidi="ar-SA"/>
              </w:rPr>
              <w:t>LM</w:t>
            </w:r>
          </w:p>
        </w:tc>
        <w:tc>
          <w:tcPr>
            <w:tcW w:w="1980" w:type="dxa"/>
            <w:tcBorders>
              <w:bottom w:val="single" w:sz="6" w:space="0" w:color="000000"/>
            </w:tcBorders>
            <w:vAlign w:val="bottom"/>
          </w:tcPr>
          <w:p>
            <w:pPr>
              <w:pStyle w:val="Compact"/>
              <w:widowControl w:val="false"/>
              <w:suppressAutoHyphens w:val="true"/>
              <w:spacing w:before="36" w:after="36"/>
              <w:jc w:val="center"/>
              <w:rPr>
                <w:rFonts w:ascii="Cambria" w:hAnsi="Cambria" w:eastAsia="Cambria"/>
              </w:rPr>
            </w:pPr>
            <w:r>
              <w:rPr>
                <w:rFonts w:eastAsia="Cambria" w:cs=""/>
                <w:kern w:val="0"/>
                <w:sz w:val="24"/>
                <w:szCs w:val="24"/>
                <w:lang w:val="en-US" w:eastAsia="en-US" w:bidi="ar-SA"/>
              </w:rPr>
              <w:t>Description</w:t>
            </w:r>
          </w:p>
        </w:tc>
        <w:tc>
          <w:tcPr>
            <w:tcW w:w="1979" w:type="dxa"/>
            <w:tcBorders>
              <w:bottom w:val="single" w:sz="6" w:space="0" w:color="000000"/>
            </w:tcBorders>
            <w:vAlign w:val="bottom"/>
          </w:tcPr>
          <w:p>
            <w:pPr>
              <w:pStyle w:val="Compact"/>
              <w:widowControl w:val="false"/>
              <w:suppressAutoHyphens w:val="true"/>
              <w:spacing w:before="36" w:after="36"/>
              <w:jc w:val="center"/>
              <w:rPr>
                <w:rFonts w:ascii="Cambria" w:hAnsi="Cambria" w:eastAsia="Cambria"/>
              </w:rPr>
            </w:pPr>
            <w:r>
              <w:rPr>
                <w:rFonts w:eastAsia="Cambria" w:cs=""/>
                <w:kern w:val="0"/>
                <w:sz w:val="24"/>
                <w:szCs w:val="24"/>
                <w:lang w:val="en-US" w:eastAsia="en-US" w:bidi="ar-SA"/>
              </w:rPr>
              <w:t>Source</w:t>
            </w:r>
          </w:p>
        </w:tc>
      </w:tr>
      <w:tr>
        <w:trPr/>
        <w:tc>
          <w:tcPr>
            <w:tcW w:w="1980" w:type="dxa"/>
            <w:tcBorders/>
          </w:tcPr>
          <w:p>
            <w:pPr>
              <w:pStyle w:val="Compact"/>
              <w:widowControl w:val="false"/>
              <w:suppressAutoHyphens w:val="true"/>
              <w:spacing w:before="36" w:after="36"/>
              <w:jc w:val="left"/>
              <w:rPr>
                <w:rFonts w:ascii="Cambria" w:hAnsi="Cambria" w:eastAsia="Cambria"/>
              </w:rPr>
            </w:pPr>
            <w:r>
              <w:rPr>
                <w:rFonts w:eastAsia="Cambria" w:cs=""/>
                <w:kern w:val="0"/>
                <w:sz w:val="24"/>
                <w:szCs w:val="24"/>
                <w:lang w:val="en-US" w:eastAsia="en-US" w:bidi="ar-SA"/>
              </w:rPr>
              <w:t>1.</w:t>
            </w:r>
          </w:p>
        </w:tc>
        <w:tc>
          <w:tcPr>
            <w:tcW w:w="1980" w:type="dxa"/>
            <w:tcBorders/>
          </w:tcPr>
          <w:p>
            <w:pPr>
              <w:pStyle w:val="Compact"/>
              <w:widowControl w:val="false"/>
              <w:suppressAutoHyphens w:val="true"/>
              <w:spacing w:before="36" w:after="36"/>
              <w:jc w:val="center"/>
              <w:rPr>
                <w:rFonts w:ascii="Cambria" w:hAnsi="Cambria" w:eastAsia="Cambria"/>
              </w:rPr>
            </w:pPr>
            <w:r>
              <w:rPr>
                <w:rFonts w:eastAsia="Cambria" w:cs=""/>
                <w:kern w:val="0"/>
                <w:sz w:val="24"/>
                <w:szCs w:val="24"/>
                <w:lang w:val="en-US" w:eastAsia="en-US" w:bidi="ar-SA"/>
              </w:rPr>
              <w:t>N</w:t>
            </w:r>
          </w:p>
        </w:tc>
        <w:tc>
          <w:tcPr>
            <w:tcW w:w="1980" w:type="dxa"/>
            <w:tcBorders/>
          </w:tcPr>
          <w:p>
            <w:pPr>
              <w:pStyle w:val="Compact"/>
              <w:widowControl w:val="false"/>
              <w:suppressAutoHyphens w:val="true"/>
              <w:spacing w:before="36" w:after="36"/>
              <w:jc w:val="center"/>
              <w:rPr>
                <w:rFonts w:ascii="Cambria" w:hAnsi="Cambria" w:eastAsia="Cambria"/>
              </w:rPr>
            </w:pPr>
            <w:r>
              <w:rPr>
                <w:rFonts w:eastAsia="Cambria" w:cs=""/>
                <w:kern w:val="0"/>
                <w:sz w:val="24"/>
                <w:szCs w:val="24"/>
                <w:lang w:val="en-US" w:eastAsia="en-US" w:bidi="ar-SA"/>
              </w:rPr>
              <w:t>Mean annual cloudiness - MODIS</w:t>
            </w:r>
          </w:p>
        </w:tc>
        <w:tc>
          <w:tcPr>
            <w:tcW w:w="1979" w:type="dxa"/>
            <w:tcBorders/>
          </w:tcPr>
          <w:p>
            <w:pPr>
              <w:pStyle w:val="Compact"/>
              <w:widowControl w:val="false"/>
              <w:suppressAutoHyphens w:val="true"/>
              <w:spacing w:before="36" w:after="36"/>
              <w:jc w:val="center"/>
              <w:rPr>
                <w:rFonts w:ascii="Cambria" w:hAnsi="Cambria" w:eastAsia="Cambria"/>
              </w:rPr>
            </w:pPr>
            <w:r>
              <w:rPr>
                <w:rFonts w:eastAsia="Cambria" w:cs=""/>
                <w:kern w:val="0"/>
                <w:sz w:val="24"/>
                <w:szCs w:val="24"/>
                <w:lang w:val="en-US" w:eastAsia="en-US" w:bidi="ar-SA"/>
              </w:rPr>
              <w:t>Wilson et al. 2016</w:t>
            </w:r>
          </w:p>
        </w:tc>
      </w:tr>
      <w:tr>
        <w:trPr/>
        <w:tc>
          <w:tcPr>
            <w:tcW w:w="1980" w:type="dxa"/>
            <w:tcBorders/>
          </w:tcPr>
          <w:p>
            <w:pPr>
              <w:pStyle w:val="Compact"/>
              <w:widowControl w:val="false"/>
              <w:suppressAutoHyphens w:val="true"/>
              <w:spacing w:before="36" w:after="36"/>
              <w:jc w:val="left"/>
              <w:rPr>
                <w:rFonts w:ascii="Cambria" w:hAnsi="Cambria" w:eastAsia="Cambria"/>
              </w:rPr>
            </w:pPr>
            <w:r>
              <w:rPr>
                <w:rFonts w:eastAsia="Cambria" w:cs=""/>
                <w:kern w:val="0"/>
                <w:sz w:val="24"/>
                <w:szCs w:val="24"/>
                <w:lang w:val="en-US" w:eastAsia="en-US" w:bidi="ar-SA"/>
              </w:rPr>
              <w:t>2.</w:t>
            </w:r>
          </w:p>
        </w:tc>
        <w:tc>
          <w:tcPr>
            <w:tcW w:w="1980" w:type="dxa"/>
            <w:tcBorders/>
          </w:tcPr>
          <w:p>
            <w:pPr>
              <w:pStyle w:val="Compact"/>
              <w:widowControl w:val="false"/>
              <w:suppressAutoHyphens w:val="true"/>
              <w:spacing w:before="36" w:after="36"/>
              <w:jc w:val="center"/>
              <w:rPr>
                <w:rFonts w:ascii="Cambria" w:hAnsi="Cambria" w:eastAsia="Cambria"/>
              </w:rPr>
            </w:pPr>
            <w:r>
              <w:rPr>
                <w:rFonts w:eastAsia="Cambria" w:cs=""/>
                <w:kern w:val="0"/>
                <w:sz w:val="24"/>
                <w:szCs w:val="24"/>
                <w:lang w:val="en-US" w:eastAsia="en-US" w:bidi="ar-SA"/>
              </w:rPr>
              <w:t>Y</w:t>
            </w:r>
          </w:p>
        </w:tc>
        <w:tc>
          <w:tcPr>
            <w:tcW w:w="1980" w:type="dxa"/>
            <w:tcBorders/>
          </w:tcPr>
          <w:p>
            <w:pPr>
              <w:pStyle w:val="Compact"/>
              <w:widowControl w:val="false"/>
              <w:suppressAutoHyphens w:val="true"/>
              <w:spacing w:before="36" w:after="36"/>
              <w:jc w:val="center"/>
              <w:rPr>
                <w:rFonts w:ascii="Cambria" w:hAnsi="Cambria" w:eastAsia="Cambria"/>
              </w:rPr>
            </w:pPr>
            <w:r>
              <w:rPr>
                <w:rFonts w:eastAsia="Cambria" w:cs=""/>
                <w:kern w:val="0"/>
                <w:sz w:val="24"/>
                <w:szCs w:val="24"/>
                <w:lang w:val="en-US" w:eastAsia="en-US" w:bidi="ar-SA"/>
              </w:rPr>
              <w:t>Cloudiness seasonality 1 - MODIS</w:t>
            </w:r>
          </w:p>
        </w:tc>
        <w:tc>
          <w:tcPr>
            <w:tcW w:w="1979" w:type="dxa"/>
            <w:tcBorders/>
          </w:tcPr>
          <w:p>
            <w:pPr>
              <w:pStyle w:val="Compact"/>
              <w:widowControl w:val="false"/>
              <w:suppressAutoHyphens w:val="true"/>
              <w:spacing w:before="36" w:after="36"/>
              <w:jc w:val="center"/>
              <w:rPr>
                <w:rFonts w:ascii="Cambria" w:hAnsi="Cambria" w:eastAsia="Cambria"/>
              </w:rPr>
            </w:pPr>
            <w:r>
              <w:rPr>
                <w:rFonts w:eastAsia="Cambria" w:cs=""/>
                <w:kern w:val="0"/>
                <w:sz w:val="24"/>
                <w:szCs w:val="24"/>
                <w:lang w:val="en-US" w:eastAsia="en-US" w:bidi="ar-SA"/>
              </w:rPr>
              <w:t>Wilson et al. 2016</w:t>
            </w:r>
          </w:p>
        </w:tc>
      </w:tr>
      <w:tr>
        <w:trPr/>
        <w:tc>
          <w:tcPr>
            <w:tcW w:w="1980" w:type="dxa"/>
            <w:tcBorders/>
          </w:tcPr>
          <w:p>
            <w:pPr>
              <w:pStyle w:val="Compact"/>
              <w:widowControl w:val="false"/>
              <w:suppressAutoHyphens w:val="true"/>
              <w:spacing w:before="36" w:after="36"/>
              <w:jc w:val="left"/>
              <w:rPr>
                <w:rFonts w:ascii="Cambria" w:hAnsi="Cambria" w:eastAsia="Cambria"/>
              </w:rPr>
            </w:pPr>
            <w:r>
              <w:rPr>
                <w:rFonts w:eastAsia="Cambria" w:cs=""/>
                <w:kern w:val="0"/>
                <w:sz w:val="24"/>
                <w:szCs w:val="24"/>
                <w:lang w:val="en-US" w:eastAsia="en-US" w:bidi="ar-SA"/>
              </w:rPr>
              <w:t>3.</w:t>
            </w:r>
          </w:p>
        </w:tc>
        <w:tc>
          <w:tcPr>
            <w:tcW w:w="1980" w:type="dxa"/>
            <w:tcBorders/>
          </w:tcPr>
          <w:p>
            <w:pPr>
              <w:pStyle w:val="Compact"/>
              <w:widowControl w:val="false"/>
              <w:suppressAutoHyphens w:val="true"/>
              <w:spacing w:before="36" w:after="36"/>
              <w:jc w:val="center"/>
              <w:rPr>
                <w:rFonts w:ascii="Cambria" w:hAnsi="Cambria" w:eastAsia="Cambria"/>
              </w:rPr>
            </w:pPr>
            <w:r>
              <w:rPr>
                <w:rFonts w:eastAsia="Cambria" w:cs=""/>
                <w:kern w:val="0"/>
                <w:sz w:val="24"/>
                <w:szCs w:val="24"/>
                <w:lang w:val="en-US" w:eastAsia="en-US" w:bidi="ar-SA"/>
              </w:rPr>
              <w:t>N</w:t>
            </w:r>
          </w:p>
        </w:tc>
        <w:tc>
          <w:tcPr>
            <w:tcW w:w="1980" w:type="dxa"/>
            <w:tcBorders/>
          </w:tcPr>
          <w:p>
            <w:pPr>
              <w:pStyle w:val="Compact"/>
              <w:widowControl w:val="false"/>
              <w:suppressAutoHyphens w:val="true"/>
              <w:spacing w:before="36" w:after="36"/>
              <w:jc w:val="center"/>
              <w:rPr>
                <w:rFonts w:ascii="Cambria" w:hAnsi="Cambria" w:eastAsia="Cambria"/>
              </w:rPr>
            </w:pPr>
            <w:r>
              <w:rPr>
                <w:rFonts w:eastAsia="Cambria" w:cs=""/>
                <w:kern w:val="0"/>
                <w:sz w:val="24"/>
                <w:szCs w:val="24"/>
                <w:lang w:val="en-US" w:eastAsia="en-US" w:bidi="ar-SA"/>
              </w:rPr>
              <w:t>Cloudiness seasonality 2 - MODIS</w:t>
            </w:r>
          </w:p>
        </w:tc>
        <w:tc>
          <w:tcPr>
            <w:tcW w:w="1979" w:type="dxa"/>
            <w:tcBorders/>
          </w:tcPr>
          <w:p>
            <w:pPr>
              <w:pStyle w:val="Compact"/>
              <w:widowControl w:val="false"/>
              <w:suppressAutoHyphens w:val="true"/>
              <w:spacing w:before="36" w:after="36"/>
              <w:jc w:val="center"/>
              <w:rPr>
                <w:rFonts w:ascii="Cambria" w:hAnsi="Cambria" w:eastAsia="Cambria"/>
              </w:rPr>
            </w:pPr>
            <w:r>
              <w:rPr>
                <w:rFonts w:eastAsia="Cambria" w:cs=""/>
                <w:kern w:val="0"/>
                <w:sz w:val="24"/>
                <w:szCs w:val="24"/>
                <w:lang w:val="en-US" w:eastAsia="en-US" w:bidi="ar-SA"/>
              </w:rPr>
              <w:t>Wilson et al. 2016</w:t>
            </w:r>
          </w:p>
        </w:tc>
      </w:tr>
      <w:tr>
        <w:trPr/>
        <w:tc>
          <w:tcPr>
            <w:tcW w:w="1980" w:type="dxa"/>
            <w:tcBorders/>
          </w:tcPr>
          <w:p>
            <w:pPr>
              <w:pStyle w:val="Compact"/>
              <w:widowControl w:val="false"/>
              <w:suppressAutoHyphens w:val="true"/>
              <w:spacing w:before="36" w:after="36"/>
              <w:jc w:val="left"/>
              <w:rPr>
                <w:rFonts w:ascii="Cambria" w:hAnsi="Cambria" w:eastAsia="Cambria"/>
              </w:rPr>
            </w:pPr>
            <w:r>
              <w:rPr>
                <w:rFonts w:eastAsia="Cambria" w:cs=""/>
                <w:kern w:val="0"/>
                <w:sz w:val="24"/>
                <w:szCs w:val="24"/>
                <w:lang w:val="en-US" w:eastAsia="en-US" w:bidi="ar-SA"/>
              </w:rPr>
              <w:t>4.</w:t>
            </w:r>
          </w:p>
        </w:tc>
        <w:tc>
          <w:tcPr>
            <w:tcW w:w="1980" w:type="dxa"/>
            <w:tcBorders/>
          </w:tcPr>
          <w:p>
            <w:pPr>
              <w:pStyle w:val="Compact"/>
              <w:widowControl w:val="false"/>
              <w:suppressAutoHyphens w:val="true"/>
              <w:spacing w:before="36" w:after="36"/>
              <w:jc w:val="center"/>
              <w:rPr>
                <w:rFonts w:ascii="Cambria" w:hAnsi="Cambria" w:eastAsia="Cambria"/>
              </w:rPr>
            </w:pPr>
            <w:r>
              <w:rPr>
                <w:rFonts w:eastAsia="Cambria" w:cs=""/>
                <w:kern w:val="0"/>
                <w:sz w:val="24"/>
                <w:szCs w:val="24"/>
                <w:lang w:val="en-US" w:eastAsia="en-US" w:bidi="ar-SA"/>
              </w:rPr>
              <w:t>Y</w:t>
            </w:r>
          </w:p>
        </w:tc>
        <w:tc>
          <w:tcPr>
            <w:tcW w:w="1980" w:type="dxa"/>
            <w:tcBorders/>
          </w:tcPr>
          <w:p>
            <w:pPr>
              <w:pStyle w:val="Compact"/>
              <w:widowControl w:val="false"/>
              <w:suppressAutoHyphens w:val="true"/>
              <w:spacing w:before="36" w:after="36"/>
              <w:jc w:val="center"/>
              <w:rPr>
                <w:rFonts w:ascii="Cambria" w:hAnsi="Cambria" w:eastAsia="Cambria"/>
              </w:rPr>
            </w:pPr>
            <w:r>
              <w:rPr>
                <w:rFonts w:eastAsia="Cambria" w:cs=""/>
                <w:kern w:val="0"/>
                <w:sz w:val="24"/>
                <w:szCs w:val="24"/>
                <w:lang w:val="en-US" w:eastAsia="en-US" w:bidi="ar-SA"/>
              </w:rPr>
              <w:t>Cloudiness seasonality 3 - MODIS</w:t>
            </w:r>
          </w:p>
        </w:tc>
        <w:tc>
          <w:tcPr>
            <w:tcW w:w="1979" w:type="dxa"/>
            <w:tcBorders/>
          </w:tcPr>
          <w:p>
            <w:pPr>
              <w:pStyle w:val="Compact"/>
              <w:widowControl w:val="false"/>
              <w:suppressAutoHyphens w:val="true"/>
              <w:spacing w:before="36" w:after="36"/>
              <w:jc w:val="center"/>
              <w:rPr>
                <w:rFonts w:ascii="Cambria" w:hAnsi="Cambria" w:eastAsia="Cambria"/>
              </w:rPr>
            </w:pPr>
            <w:r>
              <w:rPr>
                <w:rFonts w:eastAsia="Cambria" w:cs=""/>
                <w:kern w:val="0"/>
                <w:sz w:val="24"/>
                <w:szCs w:val="24"/>
                <w:lang w:val="en-US" w:eastAsia="en-US" w:bidi="ar-SA"/>
              </w:rPr>
              <w:t>Wilson et al. 2016</w:t>
            </w:r>
          </w:p>
        </w:tc>
      </w:tr>
      <w:tr>
        <w:trPr/>
        <w:tc>
          <w:tcPr>
            <w:tcW w:w="1980" w:type="dxa"/>
            <w:tcBorders/>
          </w:tcPr>
          <w:p>
            <w:pPr>
              <w:pStyle w:val="Compact"/>
              <w:widowControl w:val="false"/>
              <w:suppressAutoHyphens w:val="true"/>
              <w:spacing w:before="36" w:after="36"/>
              <w:jc w:val="left"/>
              <w:rPr>
                <w:rFonts w:ascii="Cambria" w:hAnsi="Cambria" w:eastAsia="Cambria"/>
              </w:rPr>
            </w:pPr>
            <w:r>
              <w:rPr>
                <w:rFonts w:eastAsia="Cambria" w:cs=""/>
                <w:kern w:val="0"/>
                <w:sz w:val="24"/>
                <w:szCs w:val="24"/>
                <w:lang w:val="en-US" w:eastAsia="en-US" w:bidi="ar-SA"/>
              </w:rPr>
              <w:t>5.</w:t>
            </w:r>
          </w:p>
        </w:tc>
        <w:tc>
          <w:tcPr>
            <w:tcW w:w="1980" w:type="dxa"/>
            <w:tcBorders/>
          </w:tcPr>
          <w:p>
            <w:pPr>
              <w:pStyle w:val="Compact"/>
              <w:widowControl w:val="false"/>
              <w:suppressAutoHyphens w:val="true"/>
              <w:spacing w:before="36" w:after="36"/>
              <w:jc w:val="center"/>
              <w:rPr>
                <w:rFonts w:ascii="Cambria" w:hAnsi="Cambria" w:eastAsia="Cambria"/>
              </w:rPr>
            </w:pPr>
            <w:r>
              <w:rPr>
                <w:rFonts w:eastAsia="Cambria" w:cs=""/>
                <w:kern w:val="0"/>
                <w:sz w:val="24"/>
                <w:szCs w:val="24"/>
                <w:lang w:val="en-US" w:eastAsia="en-US" w:bidi="ar-SA"/>
              </w:rPr>
              <w:t>N</w:t>
            </w:r>
          </w:p>
        </w:tc>
        <w:tc>
          <w:tcPr>
            <w:tcW w:w="1980" w:type="dxa"/>
            <w:tcBorders/>
          </w:tcPr>
          <w:p>
            <w:pPr>
              <w:pStyle w:val="Compact"/>
              <w:widowControl w:val="false"/>
              <w:suppressAutoHyphens w:val="true"/>
              <w:spacing w:before="36" w:after="36"/>
              <w:jc w:val="center"/>
              <w:rPr>
                <w:rFonts w:ascii="Cambria" w:hAnsi="Cambria" w:eastAsia="Cambria"/>
              </w:rPr>
            </w:pPr>
            <w:r>
              <w:rPr>
                <w:rFonts w:eastAsia="Cambria" w:cs=""/>
                <w:kern w:val="0"/>
                <w:sz w:val="24"/>
                <w:szCs w:val="24"/>
                <w:lang w:val="en-US" w:eastAsia="en-US" w:bidi="ar-SA"/>
              </w:rPr>
              <w:t>Beginning of the frost-free period</w:t>
            </w:r>
          </w:p>
        </w:tc>
        <w:tc>
          <w:tcPr>
            <w:tcW w:w="1979" w:type="dxa"/>
            <w:tcBorders/>
          </w:tcPr>
          <w:p>
            <w:pPr>
              <w:pStyle w:val="Compact"/>
              <w:widowControl w:val="false"/>
              <w:suppressAutoHyphens w:val="true"/>
              <w:spacing w:before="36" w:after="36"/>
              <w:jc w:val="center"/>
              <w:rPr>
                <w:rFonts w:ascii="Cambria" w:hAnsi="Cambria" w:eastAsia="Cambria"/>
              </w:rPr>
            </w:pPr>
            <w:r>
              <w:rPr>
                <w:rFonts w:eastAsia="Cambria" w:cs=""/>
                <w:kern w:val="0"/>
                <w:sz w:val="24"/>
                <w:szCs w:val="24"/>
                <w:lang w:val="en-US" w:eastAsia="en-US" w:bidi="ar-SA"/>
              </w:rPr>
              <w:t>Wang et al.</w:t>
            </w:r>
          </w:p>
        </w:tc>
      </w:tr>
      <w:tr>
        <w:trPr/>
        <w:tc>
          <w:tcPr>
            <w:tcW w:w="1980" w:type="dxa"/>
            <w:tcBorders/>
          </w:tcPr>
          <w:p>
            <w:pPr>
              <w:pStyle w:val="Compact"/>
              <w:widowControl w:val="false"/>
              <w:suppressAutoHyphens w:val="true"/>
              <w:spacing w:before="36" w:after="36"/>
              <w:jc w:val="left"/>
              <w:rPr>
                <w:rFonts w:ascii="Cambria" w:hAnsi="Cambria" w:eastAsia="Cambria"/>
              </w:rPr>
            </w:pPr>
            <w:r>
              <w:rPr>
                <w:rFonts w:eastAsia="Cambria" w:cs=""/>
                <w:kern w:val="0"/>
                <w:sz w:val="24"/>
                <w:szCs w:val="24"/>
                <w:lang w:val="en-US" w:eastAsia="en-US" w:bidi="ar-SA"/>
              </w:rPr>
              <w:t>6.</w:t>
            </w:r>
          </w:p>
        </w:tc>
        <w:tc>
          <w:tcPr>
            <w:tcW w:w="1980" w:type="dxa"/>
            <w:tcBorders/>
          </w:tcPr>
          <w:p>
            <w:pPr>
              <w:pStyle w:val="Compact"/>
              <w:widowControl w:val="false"/>
              <w:suppressAutoHyphens w:val="true"/>
              <w:spacing w:before="36" w:after="36"/>
              <w:jc w:val="center"/>
              <w:rPr>
                <w:rFonts w:ascii="Cambria" w:hAnsi="Cambria" w:eastAsia="Cambria"/>
              </w:rPr>
            </w:pPr>
            <w:r>
              <w:rPr>
                <w:rFonts w:eastAsia="Cambria" w:cs=""/>
                <w:kern w:val="0"/>
                <w:sz w:val="24"/>
                <w:szCs w:val="24"/>
                <w:lang w:val="en-US" w:eastAsia="en-US" w:bidi="ar-SA"/>
              </w:rPr>
              <w:t>N</w:t>
            </w:r>
          </w:p>
        </w:tc>
        <w:tc>
          <w:tcPr>
            <w:tcW w:w="1980" w:type="dxa"/>
            <w:tcBorders/>
          </w:tcPr>
          <w:p>
            <w:pPr>
              <w:pStyle w:val="Compact"/>
              <w:widowControl w:val="false"/>
              <w:suppressAutoHyphens w:val="true"/>
              <w:spacing w:before="36" w:after="36"/>
              <w:jc w:val="center"/>
              <w:rPr>
                <w:rFonts w:ascii="Cambria" w:hAnsi="Cambria" w:eastAsia="Cambria"/>
              </w:rPr>
            </w:pPr>
            <w:r>
              <w:rPr>
                <w:rFonts w:eastAsia="Cambria" w:cs=""/>
                <w:kern w:val="0"/>
                <w:sz w:val="24"/>
                <w:szCs w:val="24"/>
                <w:lang w:val="en-US" w:eastAsia="en-US" w:bidi="ar-SA"/>
              </w:rPr>
              <w:t>Climatic moisture deficit</w:t>
            </w:r>
          </w:p>
        </w:tc>
        <w:tc>
          <w:tcPr>
            <w:tcW w:w="1979" w:type="dxa"/>
            <w:tcBorders/>
          </w:tcPr>
          <w:p>
            <w:pPr>
              <w:pStyle w:val="Compact"/>
              <w:widowControl w:val="false"/>
              <w:suppressAutoHyphens w:val="true"/>
              <w:spacing w:before="36" w:after="36"/>
              <w:jc w:val="center"/>
              <w:rPr>
                <w:rFonts w:ascii="Cambria" w:hAnsi="Cambria" w:eastAsia="Cambria"/>
              </w:rPr>
            </w:pPr>
            <w:r>
              <w:rPr>
                <w:rFonts w:eastAsia="Cambria" w:cs=""/>
                <w:kern w:val="0"/>
                <w:sz w:val="24"/>
                <w:szCs w:val="24"/>
                <w:lang w:val="en-US" w:eastAsia="en-US" w:bidi="ar-SA"/>
              </w:rPr>
              <w:t>Wang et al.</w:t>
            </w:r>
          </w:p>
        </w:tc>
      </w:tr>
      <w:tr>
        <w:trPr/>
        <w:tc>
          <w:tcPr>
            <w:tcW w:w="1980" w:type="dxa"/>
            <w:tcBorders/>
          </w:tcPr>
          <w:p>
            <w:pPr>
              <w:pStyle w:val="Compact"/>
              <w:widowControl w:val="false"/>
              <w:suppressAutoHyphens w:val="true"/>
              <w:spacing w:before="36" w:after="36"/>
              <w:jc w:val="left"/>
              <w:rPr>
                <w:rFonts w:ascii="Cambria" w:hAnsi="Cambria" w:eastAsia="Cambria"/>
              </w:rPr>
            </w:pPr>
            <w:r>
              <w:rPr>
                <w:rFonts w:eastAsia="Cambria" w:cs=""/>
                <w:kern w:val="0"/>
                <w:sz w:val="24"/>
                <w:szCs w:val="24"/>
                <w:lang w:val="en-US" w:eastAsia="en-US" w:bidi="ar-SA"/>
              </w:rPr>
              <w:t>7.</w:t>
            </w:r>
          </w:p>
        </w:tc>
        <w:tc>
          <w:tcPr>
            <w:tcW w:w="1980" w:type="dxa"/>
            <w:tcBorders/>
          </w:tcPr>
          <w:p>
            <w:pPr>
              <w:pStyle w:val="Compact"/>
              <w:widowControl w:val="false"/>
              <w:suppressAutoHyphens w:val="true"/>
              <w:spacing w:before="36" w:after="36"/>
              <w:jc w:val="center"/>
              <w:rPr>
                <w:rFonts w:ascii="Cambria" w:hAnsi="Cambria" w:eastAsia="Cambria"/>
              </w:rPr>
            </w:pPr>
            <w:r>
              <w:rPr>
                <w:rFonts w:eastAsia="Cambria" w:cs=""/>
                <w:kern w:val="0"/>
                <w:sz w:val="24"/>
                <w:szCs w:val="24"/>
                <w:lang w:val="en-US" w:eastAsia="en-US" w:bidi="ar-SA"/>
              </w:rPr>
              <w:t>N</w:t>
            </w:r>
          </w:p>
        </w:tc>
        <w:tc>
          <w:tcPr>
            <w:tcW w:w="1980" w:type="dxa"/>
            <w:tcBorders/>
          </w:tcPr>
          <w:p>
            <w:pPr>
              <w:pStyle w:val="Compact"/>
              <w:widowControl w:val="false"/>
              <w:suppressAutoHyphens w:val="true"/>
              <w:spacing w:before="36" w:after="36"/>
              <w:jc w:val="center"/>
              <w:rPr>
                <w:rFonts w:ascii="Cambria" w:hAnsi="Cambria" w:eastAsia="Cambria"/>
              </w:rPr>
            </w:pPr>
            <w:r>
              <w:rPr>
                <w:rFonts w:eastAsia="Cambria" w:cs=""/>
                <w:kern w:val="0"/>
                <w:sz w:val="24"/>
                <w:szCs w:val="24"/>
                <w:lang w:val="en-US" w:eastAsia="en-US" w:bidi="ar-SA"/>
              </w:rPr>
              <w:t>Degree-days above 5C</w:t>
            </w:r>
          </w:p>
        </w:tc>
        <w:tc>
          <w:tcPr>
            <w:tcW w:w="1979" w:type="dxa"/>
            <w:tcBorders/>
          </w:tcPr>
          <w:p>
            <w:pPr>
              <w:pStyle w:val="Compact"/>
              <w:widowControl w:val="false"/>
              <w:suppressAutoHyphens w:val="true"/>
              <w:spacing w:before="36" w:after="36"/>
              <w:jc w:val="center"/>
              <w:rPr>
                <w:rFonts w:ascii="Cambria" w:hAnsi="Cambria" w:eastAsia="Cambria"/>
              </w:rPr>
            </w:pPr>
            <w:r>
              <w:rPr>
                <w:rFonts w:eastAsia="Cambria" w:cs=""/>
                <w:kern w:val="0"/>
                <w:sz w:val="24"/>
                <w:szCs w:val="24"/>
                <w:lang w:val="en-US" w:eastAsia="en-US" w:bidi="ar-SA"/>
              </w:rPr>
              <w:t>Wang et al.</w:t>
            </w:r>
          </w:p>
        </w:tc>
      </w:tr>
      <w:tr>
        <w:trPr/>
        <w:tc>
          <w:tcPr>
            <w:tcW w:w="1980" w:type="dxa"/>
            <w:tcBorders/>
          </w:tcPr>
          <w:p>
            <w:pPr>
              <w:pStyle w:val="Compact"/>
              <w:widowControl w:val="false"/>
              <w:suppressAutoHyphens w:val="true"/>
              <w:spacing w:before="36" w:after="36"/>
              <w:jc w:val="left"/>
              <w:rPr>
                <w:rFonts w:ascii="Cambria" w:hAnsi="Cambria" w:eastAsia="Cambria"/>
              </w:rPr>
            </w:pPr>
            <w:r>
              <w:rPr>
                <w:rFonts w:eastAsia="Cambria" w:cs=""/>
                <w:kern w:val="0"/>
                <w:sz w:val="24"/>
                <w:szCs w:val="24"/>
                <w:lang w:val="en-US" w:eastAsia="en-US" w:bidi="ar-SA"/>
              </w:rPr>
              <w:t>8.</w:t>
            </w:r>
          </w:p>
        </w:tc>
        <w:tc>
          <w:tcPr>
            <w:tcW w:w="1980" w:type="dxa"/>
            <w:tcBorders/>
          </w:tcPr>
          <w:p>
            <w:pPr>
              <w:pStyle w:val="Compact"/>
              <w:widowControl w:val="false"/>
              <w:suppressAutoHyphens w:val="true"/>
              <w:spacing w:before="36" w:after="36"/>
              <w:jc w:val="center"/>
              <w:rPr>
                <w:rFonts w:ascii="Cambria" w:hAnsi="Cambria" w:eastAsia="Cambria"/>
              </w:rPr>
            </w:pPr>
            <w:r>
              <w:rPr>
                <w:rFonts w:eastAsia="Cambria" w:cs=""/>
                <w:kern w:val="0"/>
                <w:sz w:val="24"/>
                <w:szCs w:val="24"/>
                <w:lang w:val="en-US" w:eastAsia="en-US" w:bidi="ar-SA"/>
              </w:rPr>
              <w:t>N</w:t>
            </w:r>
          </w:p>
        </w:tc>
        <w:tc>
          <w:tcPr>
            <w:tcW w:w="1980" w:type="dxa"/>
            <w:tcBorders/>
          </w:tcPr>
          <w:p>
            <w:pPr>
              <w:pStyle w:val="Compact"/>
              <w:widowControl w:val="false"/>
              <w:suppressAutoHyphens w:val="true"/>
              <w:spacing w:before="36" w:after="36"/>
              <w:jc w:val="center"/>
              <w:rPr>
                <w:rFonts w:ascii="Cambria" w:hAnsi="Cambria" w:eastAsia="Cambria"/>
              </w:rPr>
            </w:pPr>
            <w:r>
              <w:rPr>
                <w:rFonts w:eastAsia="Cambria" w:cs=""/>
                <w:kern w:val="0"/>
                <w:sz w:val="24"/>
                <w:szCs w:val="24"/>
                <w:lang w:val="en-US" w:eastAsia="en-US" w:bidi="ar-SA"/>
              </w:rPr>
              <w:t>Mean annual precipitation</w:t>
            </w:r>
          </w:p>
        </w:tc>
        <w:tc>
          <w:tcPr>
            <w:tcW w:w="1979" w:type="dxa"/>
            <w:tcBorders/>
          </w:tcPr>
          <w:p>
            <w:pPr>
              <w:pStyle w:val="Compact"/>
              <w:widowControl w:val="false"/>
              <w:suppressAutoHyphens w:val="true"/>
              <w:spacing w:before="36" w:after="36"/>
              <w:jc w:val="center"/>
              <w:rPr>
                <w:rFonts w:ascii="Cambria" w:hAnsi="Cambria" w:eastAsia="Cambria"/>
              </w:rPr>
            </w:pPr>
            <w:r>
              <w:rPr>
                <w:rFonts w:eastAsia="Cambria" w:cs=""/>
                <w:kern w:val="0"/>
                <w:sz w:val="24"/>
                <w:szCs w:val="24"/>
                <w:lang w:val="en-US" w:eastAsia="en-US" w:bidi="ar-SA"/>
              </w:rPr>
              <w:t>Wang et al.</w:t>
            </w:r>
          </w:p>
        </w:tc>
      </w:tr>
      <w:tr>
        <w:trPr/>
        <w:tc>
          <w:tcPr>
            <w:tcW w:w="1980" w:type="dxa"/>
            <w:tcBorders/>
          </w:tcPr>
          <w:p>
            <w:pPr>
              <w:pStyle w:val="Compact"/>
              <w:widowControl w:val="false"/>
              <w:suppressAutoHyphens w:val="true"/>
              <w:spacing w:before="36" w:after="36"/>
              <w:jc w:val="left"/>
              <w:rPr>
                <w:rFonts w:ascii="Cambria" w:hAnsi="Cambria" w:eastAsia="Cambria"/>
              </w:rPr>
            </w:pPr>
            <w:r>
              <w:rPr>
                <w:rFonts w:eastAsia="Cambria" w:cs=""/>
                <w:kern w:val="0"/>
                <w:sz w:val="24"/>
                <w:szCs w:val="24"/>
                <w:lang w:val="en-US" w:eastAsia="en-US" w:bidi="ar-SA"/>
              </w:rPr>
              <w:t>9.</w:t>
            </w:r>
          </w:p>
        </w:tc>
        <w:tc>
          <w:tcPr>
            <w:tcW w:w="1980" w:type="dxa"/>
            <w:tcBorders/>
          </w:tcPr>
          <w:p>
            <w:pPr>
              <w:pStyle w:val="Compact"/>
              <w:widowControl w:val="false"/>
              <w:suppressAutoHyphens w:val="true"/>
              <w:spacing w:before="36" w:after="36"/>
              <w:jc w:val="center"/>
              <w:rPr>
                <w:rFonts w:ascii="Cambria" w:hAnsi="Cambria" w:eastAsia="Cambria"/>
              </w:rPr>
            </w:pPr>
            <w:r>
              <w:rPr>
                <w:rFonts w:eastAsia="Cambria" w:cs=""/>
                <w:kern w:val="0"/>
                <w:sz w:val="24"/>
                <w:szCs w:val="24"/>
                <w:lang w:val="en-US" w:eastAsia="en-US" w:bidi="ar-SA"/>
              </w:rPr>
              <w:t>Y</w:t>
            </w:r>
          </w:p>
        </w:tc>
        <w:tc>
          <w:tcPr>
            <w:tcW w:w="1980" w:type="dxa"/>
            <w:tcBorders/>
          </w:tcPr>
          <w:p>
            <w:pPr>
              <w:pStyle w:val="Compact"/>
              <w:widowControl w:val="false"/>
              <w:suppressAutoHyphens w:val="true"/>
              <w:spacing w:before="36" w:after="36"/>
              <w:jc w:val="center"/>
              <w:rPr>
                <w:rFonts w:ascii="Cambria" w:hAnsi="Cambria" w:eastAsia="Cambria"/>
              </w:rPr>
            </w:pPr>
            <w:r>
              <w:rPr>
                <w:rFonts w:eastAsia="Cambria" w:cs=""/>
                <w:kern w:val="0"/>
                <w:sz w:val="24"/>
                <w:szCs w:val="24"/>
                <w:lang w:val="en-US" w:eastAsia="en-US" w:bidi="ar-SA"/>
              </w:rPr>
              <w:t>Mean annual precipitation as snow</w:t>
            </w:r>
          </w:p>
        </w:tc>
        <w:tc>
          <w:tcPr>
            <w:tcW w:w="1979" w:type="dxa"/>
            <w:tcBorders/>
          </w:tcPr>
          <w:p>
            <w:pPr>
              <w:pStyle w:val="Compact"/>
              <w:widowControl w:val="false"/>
              <w:suppressAutoHyphens w:val="true"/>
              <w:spacing w:before="36" w:after="36"/>
              <w:jc w:val="center"/>
              <w:rPr>
                <w:rFonts w:ascii="Cambria" w:hAnsi="Cambria" w:eastAsia="Cambria"/>
              </w:rPr>
            </w:pPr>
            <w:r>
              <w:rPr>
                <w:rFonts w:eastAsia="Cambria" w:cs=""/>
                <w:kern w:val="0"/>
                <w:sz w:val="24"/>
                <w:szCs w:val="24"/>
                <w:lang w:val="en-US" w:eastAsia="en-US" w:bidi="ar-SA"/>
              </w:rPr>
              <w:t>Wang et al.</w:t>
            </w:r>
          </w:p>
        </w:tc>
      </w:tr>
      <w:tr>
        <w:trPr/>
        <w:tc>
          <w:tcPr>
            <w:tcW w:w="1980" w:type="dxa"/>
            <w:tcBorders/>
          </w:tcPr>
          <w:p>
            <w:pPr>
              <w:pStyle w:val="Compact"/>
              <w:widowControl w:val="false"/>
              <w:suppressAutoHyphens w:val="true"/>
              <w:spacing w:before="36" w:after="36"/>
              <w:jc w:val="left"/>
              <w:rPr>
                <w:rFonts w:ascii="Cambria" w:hAnsi="Cambria" w:eastAsia="Cambria"/>
              </w:rPr>
            </w:pPr>
            <w:r>
              <w:rPr>
                <w:rFonts w:eastAsia="Cambria" w:cs=""/>
                <w:kern w:val="0"/>
                <w:sz w:val="24"/>
                <w:szCs w:val="24"/>
                <w:lang w:val="en-US" w:eastAsia="en-US" w:bidi="ar-SA"/>
              </w:rPr>
              <w:t>10.</w:t>
            </w:r>
          </w:p>
        </w:tc>
        <w:tc>
          <w:tcPr>
            <w:tcW w:w="1980" w:type="dxa"/>
            <w:tcBorders/>
          </w:tcPr>
          <w:p>
            <w:pPr>
              <w:pStyle w:val="Compact"/>
              <w:widowControl w:val="false"/>
              <w:suppressAutoHyphens w:val="true"/>
              <w:spacing w:before="36" w:after="36"/>
              <w:jc w:val="center"/>
              <w:rPr>
                <w:rFonts w:ascii="Cambria" w:hAnsi="Cambria" w:eastAsia="Cambria"/>
              </w:rPr>
            </w:pPr>
            <w:r>
              <w:rPr>
                <w:rFonts w:eastAsia="Cambria" w:cs=""/>
                <w:kern w:val="0"/>
                <w:sz w:val="24"/>
                <w:szCs w:val="24"/>
                <w:lang w:val="en-US" w:eastAsia="en-US" w:bidi="ar-SA"/>
              </w:rPr>
              <w:t>Y</w:t>
            </w:r>
          </w:p>
        </w:tc>
        <w:tc>
          <w:tcPr>
            <w:tcW w:w="1980" w:type="dxa"/>
            <w:tcBorders/>
          </w:tcPr>
          <w:p>
            <w:pPr>
              <w:pStyle w:val="Compact"/>
              <w:widowControl w:val="false"/>
              <w:suppressAutoHyphens w:val="true"/>
              <w:spacing w:before="36" w:after="36"/>
              <w:jc w:val="center"/>
              <w:rPr>
                <w:rFonts w:ascii="Cambria" w:hAnsi="Cambria" w:eastAsia="Cambria"/>
              </w:rPr>
            </w:pPr>
            <w:r>
              <w:rPr>
                <w:rFonts w:eastAsia="Cambria" w:cs=""/>
                <w:kern w:val="0"/>
                <w:sz w:val="24"/>
                <w:szCs w:val="24"/>
                <w:lang w:val="en-US" w:eastAsia="en-US" w:bidi="ar-SA"/>
              </w:rPr>
              <w:t>Temperature seasonality</w:t>
            </w:r>
          </w:p>
        </w:tc>
        <w:tc>
          <w:tcPr>
            <w:tcW w:w="1979" w:type="dxa"/>
            <w:tcBorders/>
          </w:tcPr>
          <w:p>
            <w:pPr>
              <w:pStyle w:val="Compact"/>
              <w:widowControl w:val="false"/>
              <w:suppressAutoHyphens w:val="true"/>
              <w:spacing w:before="36" w:after="36"/>
              <w:jc w:val="center"/>
              <w:rPr>
                <w:rFonts w:ascii="Cambria" w:hAnsi="Cambria" w:eastAsia="Cambria"/>
              </w:rPr>
            </w:pPr>
            <w:r>
              <w:rPr>
                <w:rFonts w:eastAsia="Cambria" w:cs=""/>
                <w:kern w:val="0"/>
                <w:sz w:val="24"/>
                <w:szCs w:val="24"/>
                <w:lang w:val="en-US" w:eastAsia="en-US" w:bidi="ar-SA"/>
              </w:rPr>
              <w:t>Wang et al.</w:t>
            </w:r>
          </w:p>
        </w:tc>
      </w:tr>
      <w:tr>
        <w:trPr/>
        <w:tc>
          <w:tcPr>
            <w:tcW w:w="1980" w:type="dxa"/>
            <w:tcBorders/>
          </w:tcPr>
          <w:p>
            <w:pPr>
              <w:pStyle w:val="Compact"/>
              <w:widowControl w:val="false"/>
              <w:suppressAutoHyphens w:val="true"/>
              <w:spacing w:before="36" w:after="36"/>
              <w:jc w:val="left"/>
              <w:rPr>
                <w:rFonts w:ascii="Cambria" w:hAnsi="Cambria" w:eastAsia="Cambria"/>
              </w:rPr>
            </w:pPr>
            <w:r>
              <w:rPr>
                <w:rFonts w:eastAsia="Cambria" w:cs=""/>
                <w:kern w:val="0"/>
                <w:sz w:val="24"/>
                <w:szCs w:val="24"/>
                <w:lang w:val="en-US" w:eastAsia="en-US" w:bidi="ar-SA"/>
              </w:rPr>
              <w:t>11.</w:t>
            </w:r>
          </w:p>
        </w:tc>
        <w:tc>
          <w:tcPr>
            <w:tcW w:w="1980" w:type="dxa"/>
            <w:tcBorders/>
          </w:tcPr>
          <w:p>
            <w:pPr>
              <w:pStyle w:val="Compact"/>
              <w:widowControl w:val="false"/>
              <w:suppressAutoHyphens w:val="true"/>
              <w:spacing w:before="36" w:after="36"/>
              <w:jc w:val="center"/>
              <w:rPr>
                <w:rFonts w:ascii="Cambria" w:hAnsi="Cambria" w:eastAsia="Cambria"/>
              </w:rPr>
            </w:pPr>
            <w:r>
              <w:rPr>
                <w:rFonts w:eastAsia="Cambria" w:cs=""/>
                <w:kern w:val="0"/>
                <w:sz w:val="24"/>
                <w:szCs w:val="24"/>
                <w:lang w:val="en-US" w:eastAsia="en-US" w:bidi="ar-SA"/>
              </w:rPr>
              <w:t>Y</w:t>
            </w:r>
          </w:p>
        </w:tc>
        <w:tc>
          <w:tcPr>
            <w:tcW w:w="1980" w:type="dxa"/>
            <w:tcBorders/>
          </w:tcPr>
          <w:p>
            <w:pPr>
              <w:pStyle w:val="Compact"/>
              <w:widowControl w:val="false"/>
              <w:suppressAutoHyphens w:val="true"/>
              <w:spacing w:before="36" w:after="36"/>
              <w:jc w:val="center"/>
              <w:rPr>
                <w:rFonts w:ascii="Cambria" w:hAnsi="Cambria" w:eastAsia="Cambria"/>
              </w:rPr>
            </w:pPr>
            <w:r>
              <w:rPr>
                <w:rFonts w:eastAsia="Cambria" w:cs=""/>
                <w:kern w:val="0"/>
                <w:sz w:val="24"/>
                <w:szCs w:val="24"/>
                <w:lang w:val="en-US" w:eastAsia="en-US" w:bidi="ar-SA"/>
              </w:rPr>
              <w:t>2015 Percent Grass/Herbaceous cover - MODIS</w:t>
            </w:r>
          </w:p>
        </w:tc>
        <w:tc>
          <w:tcPr>
            <w:tcW w:w="1979" w:type="dxa"/>
            <w:tcBorders/>
          </w:tcPr>
          <w:p>
            <w:pPr>
              <w:pStyle w:val="Compact"/>
              <w:widowControl w:val="false"/>
              <w:suppressAutoHyphens w:val="true"/>
              <w:spacing w:before="36" w:after="36"/>
              <w:jc w:val="center"/>
              <w:rPr>
                <w:rFonts w:ascii="Cambria" w:hAnsi="Cambria" w:eastAsia="Cambria"/>
              </w:rPr>
            </w:pPr>
            <w:r>
              <w:rPr>
                <w:rFonts w:eastAsia="Cambria" w:cs=""/>
                <w:kern w:val="0"/>
                <w:sz w:val="24"/>
                <w:szCs w:val="24"/>
                <w:lang w:val="en-US" w:eastAsia="en-US" w:bidi="ar-SA"/>
              </w:rPr>
              <w:t>(MOD44B)</w:t>
            </w:r>
          </w:p>
        </w:tc>
      </w:tr>
      <w:tr>
        <w:trPr/>
        <w:tc>
          <w:tcPr>
            <w:tcW w:w="1980" w:type="dxa"/>
            <w:tcBorders/>
          </w:tcPr>
          <w:p>
            <w:pPr>
              <w:pStyle w:val="Compact"/>
              <w:widowControl w:val="false"/>
              <w:suppressAutoHyphens w:val="true"/>
              <w:spacing w:before="36" w:after="36"/>
              <w:jc w:val="left"/>
              <w:rPr>
                <w:rFonts w:ascii="Cambria" w:hAnsi="Cambria" w:eastAsia="Cambria"/>
              </w:rPr>
            </w:pPr>
            <w:r>
              <w:rPr>
                <w:rFonts w:eastAsia="Cambria" w:cs=""/>
                <w:kern w:val="0"/>
                <w:sz w:val="24"/>
                <w:szCs w:val="24"/>
                <w:lang w:val="en-US" w:eastAsia="en-US" w:bidi="ar-SA"/>
              </w:rPr>
              <w:t>12.</w:t>
            </w:r>
          </w:p>
        </w:tc>
        <w:tc>
          <w:tcPr>
            <w:tcW w:w="1980" w:type="dxa"/>
            <w:tcBorders/>
          </w:tcPr>
          <w:p>
            <w:pPr>
              <w:pStyle w:val="Compact"/>
              <w:widowControl w:val="false"/>
              <w:suppressAutoHyphens w:val="true"/>
              <w:spacing w:before="36" w:after="36"/>
              <w:jc w:val="center"/>
              <w:rPr>
                <w:rFonts w:ascii="Cambria" w:hAnsi="Cambria" w:eastAsia="Cambria"/>
              </w:rPr>
            </w:pPr>
            <w:r>
              <w:rPr>
                <w:rFonts w:eastAsia="Cambria" w:cs=""/>
                <w:kern w:val="0"/>
                <w:sz w:val="24"/>
                <w:szCs w:val="24"/>
                <w:lang w:val="en-US" w:eastAsia="en-US" w:bidi="ar-SA"/>
              </w:rPr>
              <w:t>Y</w:t>
            </w:r>
          </w:p>
        </w:tc>
        <w:tc>
          <w:tcPr>
            <w:tcW w:w="1980" w:type="dxa"/>
            <w:tcBorders/>
          </w:tcPr>
          <w:p>
            <w:pPr>
              <w:pStyle w:val="Compact"/>
              <w:widowControl w:val="false"/>
              <w:suppressAutoHyphens w:val="true"/>
              <w:spacing w:before="36" w:after="36"/>
              <w:jc w:val="center"/>
              <w:rPr>
                <w:rFonts w:ascii="Cambria" w:hAnsi="Cambria" w:eastAsia="Cambria"/>
              </w:rPr>
            </w:pPr>
            <w:r>
              <w:rPr>
                <w:rFonts w:eastAsia="Cambria" w:cs=""/>
                <w:kern w:val="0"/>
                <w:sz w:val="24"/>
                <w:szCs w:val="24"/>
                <w:lang w:val="en-US" w:eastAsia="en-US" w:bidi="ar-SA"/>
              </w:rPr>
              <w:t>2015 Percent Tree cover from Landsat 7/8</w:t>
            </w:r>
          </w:p>
        </w:tc>
        <w:tc>
          <w:tcPr>
            <w:tcW w:w="1979" w:type="dxa"/>
            <w:tcBorders/>
          </w:tcPr>
          <w:p>
            <w:pPr>
              <w:pStyle w:val="Compact"/>
              <w:widowControl w:val="false"/>
              <w:suppressAutoHyphens w:val="true"/>
              <w:spacing w:before="36" w:after="36"/>
              <w:jc w:val="center"/>
              <w:rPr>
                <w:rFonts w:ascii="Cambria" w:hAnsi="Cambria" w:eastAsia="Cambria"/>
              </w:rPr>
            </w:pPr>
            <w:r>
              <w:rPr>
                <w:rFonts w:eastAsia="Cambria" w:cs=""/>
                <w:kern w:val="0"/>
                <w:sz w:val="24"/>
                <w:szCs w:val="24"/>
                <w:lang w:val="en-US" w:eastAsia="en-US" w:bidi="ar-SA"/>
              </w:rPr>
              <w:t>(GLCF)</w:t>
            </w:r>
          </w:p>
        </w:tc>
      </w:tr>
      <w:tr>
        <w:trPr/>
        <w:tc>
          <w:tcPr>
            <w:tcW w:w="1980" w:type="dxa"/>
            <w:tcBorders/>
          </w:tcPr>
          <w:p>
            <w:pPr>
              <w:pStyle w:val="Compact"/>
              <w:widowControl w:val="false"/>
              <w:suppressAutoHyphens w:val="true"/>
              <w:spacing w:before="36" w:after="36"/>
              <w:jc w:val="left"/>
              <w:rPr>
                <w:rFonts w:ascii="Cambria" w:hAnsi="Cambria" w:eastAsia="Cambria"/>
              </w:rPr>
            </w:pPr>
            <w:r>
              <w:rPr>
                <w:rFonts w:eastAsia="Cambria" w:cs=""/>
                <w:kern w:val="0"/>
                <w:sz w:val="24"/>
                <w:szCs w:val="24"/>
                <w:lang w:val="en-US" w:eastAsia="en-US" w:bidi="ar-SA"/>
              </w:rPr>
              <w:t>13.</w:t>
            </w:r>
          </w:p>
        </w:tc>
        <w:tc>
          <w:tcPr>
            <w:tcW w:w="1980" w:type="dxa"/>
            <w:tcBorders/>
          </w:tcPr>
          <w:p>
            <w:pPr>
              <w:pStyle w:val="Compact"/>
              <w:widowControl w:val="false"/>
              <w:suppressAutoHyphens w:val="true"/>
              <w:spacing w:before="36" w:after="36"/>
              <w:jc w:val="center"/>
              <w:rPr>
                <w:rFonts w:ascii="Cambria" w:hAnsi="Cambria" w:eastAsia="Cambria"/>
              </w:rPr>
            </w:pPr>
            <w:r>
              <w:rPr>
                <w:rFonts w:eastAsia="Cambria" w:cs=""/>
                <w:kern w:val="0"/>
                <w:sz w:val="24"/>
                <w:szCs w:val="24"/>
                <w:lang w:val="en-US" w:eastAsia="en-US" w:bidi="ar-SA"/>
              </w:rPr>
              <w:t>Y</w:t>
            </w:r>
          </w:p>
        </w:tc>
        <w:tc>
          <w:tcPr>
            <w:tcW w:w="1980" w:type="dxa"/>
            <w:tcBorders/>
          </w:tcPr>
          <w:p>
            <w:pPr>
              <w:pStyle w:val="Compact"/>
              <w:widowControl w:val="false"/>
              <w:suppressAutoHyphens w:val="true"/>
              <w:spacing w:before="36" w:after="36"/>
              <w:jc w:val="center"/>
              <w:rPr>
                <w:rFonts w:ascii="Cambria" w:hAnsi="Cambria" w:eastAsia="Cambria"/>
              </w:rPr>
            </w:pPr>
            <w:r>
              <w:rPr>
                <w:rFonts w:eastAsia="Cambria" w:cs=""/>
                <w:kern w:val="0"/>
                <w:sz w:val="24"/>
                <w:szCs w:val="24"/>
                <w:lang w:val="en-US" w:eastAsia="en-US" w:bidi="ar-SA"/>
              </w:rPr>
              <w:t>Soil probability of bedrock (R Horizon)</w:t>
            </w:r>
          </w:p>
        </w:tc>
        <w:tc>
          <w:tcPr>
            <w:tcW w:w="1979" w:type="dxa"/>
            <w:tcBorders/>
          </w:tcPr>
          <w:p>
            <w:pPr>
              <w:pStyle w:val="Compact"/>
              <w:widowControl w:val="false"/>
              <w:suppressAutoHyphens w:val="true"/>
              <w:spacing w:before="36" w:after="36"/>
              <w:jc w:val="center"/>
              <w:rPr>
                <w:rFonts w:ascii="Cambria" w:hAnsi="Cambria" w:eastAsia="Cambria"/>
              </w:rPr>
            </w:pPr>
            <w:r>
              <w:rPr>
                <w:rFonts w:eastAsia="Cambria" w:cs=""/>
                <w:kern w:val="0"/>
                <w:sz w:val="24"/>
                <w:szCs w:val="24"/>
                <w:lang w:val="en-US" w:eastAsia="en-US" w:bidi="ar-SA"/>
              </w:rPr>
              <w:t>SoilGrids</w:t>
            </w:r>
          </w:p>
        </w:tc>
      </w:tr>
      <w:tr>
        <w:trPr/>
        <w:tc>
          <w:tcPr>
            <w:tcW w:w="1980" w:type="dxa"/>
            <w:tcBorders/>
          </w:tcPr>
          <w:p>
            <w:pPr>
              <w:pStyle w:val="Compact"/>
              <w:widowControl w:val="false"/>
              <w:suppressAutoHyphens w:val="true"/>
              <w:spacing w:before="36" w:after="36"/>
              <w:jc w:val="left"/>
              <w:rPr>
                <w:rFonts w:ascii="Cambria" w:hAnsi="Cambria" w:eastAsia="Cambria"/>
              </w:rPr>
            </w:pPr>
            <w:r>
              <w:rPr>
                <w:rFonts w:eastAsia="Cambria" w:cs=""/>
                <w:kern w:val="0"/>
                <w:sz w:val="24"/>
                <w:szCs w:val="24"/>
                <w:lang w:val="en-US" w:eastAsia="en-US" w:bidi="ar-SA"/>
              </w:rPr>
              <w:t>14.</w:t>
            </w:r>
          </w:p>
        </w:tc>
        <w:tc>
          <w:tcPr>
            <w:tcW w:w="1980" w:type="dxa"/>
            <w:tcBorders/>
          </w:tcPr>
          <w:p>
            <w:pPr>
              <w:pStyle w:val="Compact"/>
              <w:widowControl w:val="false"/>
              <w:suppressAutoHyphens w:val="true"/>
              <w:spacing w:before="36" w:after="36"/>
              <w:jc w:val="center"/>
              <w:rPr>
                <w:rFonts w:ascii="Cambria" w:hAnsi="Cambria" w:eastAsia="Cambria"/>
              </w:rPr>
            </w:pPr>
            <w:r>
              <w:rPr>
                <w:rFonts w:eastAsia="Cambria" w:cs=""/>
                <w:kern w:val="0"/>
                <w:sz w:val="24"/>
                <w:szCs w:val="24"/>
                <w:lang w:val="en-US" w:eastAsia="en-US" w:bidi="ar-SA"/>
              </w:rPr>
              <w:t>N</w:t>
            </w:r>
          </w:p>
        </w:tc>
        <w:tc>
          <w:tcPr>
            <w:tcW w:w="1980" w:type="dxa"/>
            <w:tcBorders/>
          </w:tcPr>
          <w:p>
            <w:pPr>
              <w:pStyle w:val="Compact"/>
              <w:widowControl w:val="false"/>
              <w:suppressAutoHyphens w:val="true"/>
              <w:spacing w:before="36" w:after="36"/>
              <w:jc w:val="center"/>
              <w:rPr>
                <w:rFonts w:ascii="Cambria" w:hAnsi="Cambria" w:eastAsia="Cambria"/>
              </w:rPr>
            </w:pPr>
            <w:r>
              <w:rPr>
                <w:rFonts w:eastAsia="Cambria" w:cs=""/>
                <w:kern w:val="0"/>
                <w:sz w:val="24"/>
                <w:szCs w:val="24"/>
                <w:lang w:val="en-US" w:eastAsia="en-US" w:bidi="ar-SA"/>
              </w:rPr>
              <w:t>Soil organic carbon (Tonnes / ha)</w:t>
            </w:r>
          </w:p>
        </w:tc>
        <w:tc>
          <w:tcPr>
            <w:tcW w:w="1979" w:type="dxa"/>
            <w:tcBorders/>
          </w:tcPr>
          <w:p>
            <w:pPr>
              <w:pStyle w:val="Compact"/>
              <w:widowControl w:val="false"/>
              <w:suppressAutoHyphens w:val="true"/>
              <w:spacing w:before="36" w:after="36"/>
              <w:jc w:val="center"/>
              <w:rPr>
                <w:rFonts w:ascii="Cambria" w:hAnsi="Cambria" w:eastAsia="Cambria"/>
              </w:rPr>
            </w:pPr>
            <w:r>
              <w:rPr>
                <w:rFonts w:eastAsia="Cambria" w:cs=""/>
                <w:kern w:val="0"/>
                <w:sz w:val="24"/>
                <w:szCs w:val="24"/>
                <w:lang w:val="en-US" w:eastAsia="en-US" w:bidi="ar-SA"/>
              </w:rPr>
              <w:t>SoilGrids</w:t>
            </w:r>
          </w:p>
        </w:tc>
      </w:tr>
      <w:tr>
        <w:trPr/>
        <w:tc>
          <w:tcPr>
            <w:tcW w:w="1980" w:type="dxa"/>
            <w:tcBorders/>
          </w:tcPr>
          <w:p>
            <w:pPr>
              <w:pStyle w:val="Compact"/>
              <w:widowControl w:val="false"/>
              <w:suppressAutoHyphens w:val="true"/>
              <w:spacing w:before="36" w:after="36"/>
              <w:jc w:val="left"/>
              <w:rPr>
                <w:rFonts w:ascii="Cambria" w:hAnsi="Cambria" w:eastAsia="Cambria"/>
              </w:rPr>
            </w:pPr>
            <w:r>
              <w:rPr>
                <w:rFonts w:eastAsia="Cambria" w:cs=""/>
                <w:kern w:val="0"/>
                <w:sz w:val="24"/>
                <w:szCs w:val="24"/>
                <w:lang w:val="en-US" w:eastAsia="en-US" w:bidi="ar-SA"/>
              </w:rPr>
              <w:t>15.</w:t>
            </w:r>
          </w:p>
        </w:tc>
        <w:tc>
          <w:tcPr>
            <w:tcW w:w="1980" w:type="dxa"/>
            <w:tcBorders/>
          </w:tcPr>
          <w:p>
            <w:pPr>
              <w:pStyle w:val="Compact"/>
              <w:widowControl w:val="false"/>
              <w:suppressAutoHyphens w:val="true"/>
              <w:spacing w:before="36" w:after="36"/>
              <w:jc w:val="center"/>
              <w:rPr>
                <w:rFonts w:ascii="Cambria" w:hAnsi="Cambria" w:eastAsia="Cambria"/>
              </w:rPr>
            </w:pPr>
            <w:r>
              <w:rPr>
                <w:rFonts w:eastAsia="Cambria" w:cs=""/>
                <w:kern w:val="0"/>
                <w:sz w:val="24"/>
                <w:szCs w:val="24"/>
                <w:lang w:val="en-US" w:eastAsia="en-US" w:bidi="ar-SA"/>
              </w:rPr>
              <w:t>N</w:t>
            </w:r>
          </w:p>
        </w:tc>
        <w:tc>
          <w:tcPr>
            <w:tcW w:w="1980" w:type="dxa"/>
            <w:tcBorders/>
          </w:tcPr>
          <w:p>
            <w:pPr>
              <w:pStyle w:val="Compact"/>
              <w:widowControl w:val="false"/>
              <w:suppressAutoHyphens w:val="true"/>
              <w:spacing w:before="36" w:after="36"/>
              <w:jc w:val="center"/>
              <w:rPr>
                <w:rFonts w:ascii="Cambria" w:hAnsi="Cambria" w:eastAsia="Cambria"/>
              </w:rPr>
            </w:pPr>
            <w:r>
              <w:rPr>
                <w:rFonts w:eastAsia="Cambria" w:cs=""/>
                <w:kern w:val="0"/>
                <w:sz w:val="24"/>
                <w:szCs w:val="24"/>
                <w:lang w:val="en-US" w:eastAsia="en-US" w:bidi="ar-SA"/>
              </w:rPr>
              <w:t>Surface soil pH in H</w:t>
            </w:r>
            <w:r>
              <w:rPr>
                <w:rFonts w:eastAsia="Cambria" w:cs=""/>
                <w:kern w:val="0"/>
                <w:sz w:val="24"/>
                <w:szCs w:val="24"/>
                <w:vertAlign w:val="subscript"/>
                <w:lang w:val="en-US" w:eastAsia="en-US" w:bidi="ar-SA"/>
              </w:rPr>
              <w:t>2</w:t>
            </w:r>
            <w:r>
              <w:rPr>
                <w:rFonts w:eastAsia="Cambria" w:cs=""/>
                <w:kern w:val="0"/>
                <w:sz w:val="24"/>
                <w:szCs w:val="24"/>
                <w:lang w:val="en-US" w:eastAsia="en-US" w:bidi="ar-SA"/>
              </w:rPr>
              <w:t>O</w:t>
            </w:r>
          </w:p>
        </w:tc>
        <w:tc>
          <w:tcPr>
            <w:tcW w:w="1979" w:type="dxa"/>
            <w:tcBorders/>
          </w:tcPr>
          <w:p>
            <w:pPr>
              <w:pStyle w:val="Compact"/>
              <w:widowControl w:val="false"/>
              <w:suppressAutoHyphens w:val="true"/>
              <w:spacing w:before="36" w:after="36"/>
              <w:jc w:val="center"/>
              <w:rPr>
                <w:rFonts w:ascii="Cambria" w:hAnsi="Cambria" w:eastAsia="Cambria"/>
              </w:rPr>
            </w:pPr>
            <w:r>
              <w:rPr>
                <w:rFonts w:eastAsia="Cambria" w:cs=""/>
                <w:kern w:val="0"/>
                <w:sz w:val="24"/>
                <w:szCs w:val="24"/>
                <w:lang w:val="en-US" w:eastAsia="en-US" w:bidi="ar-SA"/>
              </w:rPr>
              <w:t>SoilGrids</w:t>
            </w:r>
          </w:p>
        </w:tc>
      </w:tr>
      <w:tr>
        <w:trPr/>
        <w:tc>
          <w:tcPr>
            <w:tcW w:w="1980" w:type="dxa"/>
            <w:tcBorders/>
          </w:tcPr>
          <w:p>
            <w:pPr>
              <w:pStyle w:val="Compact"/>
              <w:widowControl w:val="false"/>
              <w:suppressAutoHyphens w:val="true"/>
              <w:spacing w:before="36" w:after="36"/>
              <w:jc w:val="left"/>
              <w:rPr>
                <w:rFonts w:ascii="Cambria" w:hAnsi="Cambria" w:eastAsia="Cambria"/>
              </w:rPr>
            </w:pPr>
            <w:r>
              <w:rPr>
                <w:rFonts w:eastAsia="Cambria" w:cs=""/>
                <w:kern w:val="0"/>
                <w:sz w:val="24"/>
                <w:szCs w:val="24"/>
                <w:lang w:val="en-US" w:eastAsia="en-US" w:bidi="ar-SA"/>
              </w:rPr>
              <w:t>16.</w:t>
            </w:r>
          </w:p>
        </w:tc>
        <w:tc>
          <w:tcPr>
            <w:tcW w:w="1980" w:type="dxa"/>
            <w:tcBorders/>
          </w:tcPr>
          <w:p>
            <w:pPr>
              <w:pStyle w:val="Compact"/>
              <w:widowControl w:val="false"/>
              <w:suppressAutoHyphens w:val="true"/>
              <w:spacing w:before="36" w:after="36"/>
              <w:jc w:val="center"/>
              <w:rPr>
                <w:rFonts w:ascii="Cambria" w:hAnsi="Cambria" w:eastAsia="Cambria"/>
              </w:rPr>
            </w:pPr>
            <w:r>
              <w:rPr>
                <w:rFonts w:eastAsia="Cambria" w:cs=""/>
                <w:kern w:val="0"/>
                <w:sz w:val="24"/>
                <w:szCs w:val="24"/>
                <w:lang w:val="en-US" w:eastAsia="en-US" w:bidi="ar-SA"/>
              </w:rPr>
              <w:t>Y</w:t>
            </w:r>
          </w:p>
        </w:tc>
        <w:tc>
          <w:tcPr>
            <w:tcW w:w="1980" w:type="dxa"/>
            <w:tcBorders/>
          </w:tcPr>
          <w:p>
            <w:pPr>
              <w:pStyle w:val="Compact"/>
              <w:widowControl w:val="false"/>
              <w:suppressAutoHyphens w:val="true"/>
              <w:spacing w:before="36" w:after="36"/>
              <w:jc w:val="center"/>
              <w:rPr>
                <w:rFonts w:ascii="Cambria" w:hAnsi="Cambria" w:eastAsia="Cambria"/>
              </w:rPr>
            </w:pPr>
            <w:r>
              <w:rPr>
                <w:rFonts w:eastAsia="Cambria" w:cs=""/>
                <w:kern w:val="0"/>
                <w:sz w:val="24"/>
                <w:szCs w:val="24"/>
                <w:lang w:val="en-US" w:eastAsia="en-US" w:bidi="ar-SA"/>
              </w:rPr>
              <w:t>Surface soil percent sand</w:t>
            </w:r>
          </w:p>
        </w:tc>
        <w:tc>
          <w:tcPr>
            <w:tcW w:w="1979" w:type="dxa"/>
            <w:tcBorders/>
          </w:tcPr>
          <w:p>
            <w:pPr>
              <w:pStyle w:val="Compact"/>
              <w:widowControl w:val="false"/>
              <w:suppressAutoHyphens w:val="true"/>
              <w:spacing w:before="36" w:after="36"/>
              <w:jc w:val="center"/>
              <w:rPr>
                <w:rFonts w:ascii="Cambria" w:hAnsi="Cambria" w:eastAsia="Cambria"/>
              </w:rPr>
            </w:pPr>
            <w:r>
              <w:rPr>
                <w:rFonts w:eastAsia="Cambria" w:cs=""/>
                <w:kern w:val="0"/>
                <w:sz w:val="24"/>
                <w:szCs w:val="24"/>
                <w:lang w:val="en-US" w:eastAsia="en-US" w:bidi="ar-SA"/>
              </w:rPr>
              <w:t>SoilGrids</w:t>
            </w:r>
          </w:p>
        </w:tc>
      </w:tr>
      <w:tr>
        <w:trPr/>
        <w:tc>
          <w:tcPr>
            <w:tcW w:w="1980" w:type="dxa"/>
            <w:tcBorders/>
          </w:tcPr>
          <w:p>
            <w:pPr>
              <w:pStyle w:val="Compact"/>
              <w:widowControl w:val="false"/>
              <w:suppressAutoHyphens w:val="true"/>
              <w:spacing w:before="36" w:after="36"/>
              <w:jc w:val="left"/>
              <w:rPr>
                <w:rFonts w:ascii="Cambria" w:hAnsi="Cambria" w:eastAsia="Cambria"/>
              </w:rPr>
            </w:pPr>
            <w:r>
              <w:rPr>
                <w:rFonts w:eastAsia="Cambria" w:cs=""/>
                <w:kern w:val="0"/>
                <w:sz w:val="24"/>
                <w:szCs w:val="24"/>
                <w:lang w:val="en-US" w:eastAsia="en-US" w:bidi="ar-SA"/>
              </w:rPr>
              <w:t>17.</w:t>
            </w:r>
          </w:p>
        </w:tc>
        <w:tc>
          <w:tcPr>
            <w:tcW w:w="1980" w:type="dxa"/>
            <w:tcBorders/>
          </w:tcPr>
          <w:p>
            <w:pPr>
              <w:pStyle w:val="Compact"/>
              <w:widowControl w:val="false"/>
              <w:suppressAutoHyphens w:val="true"/>
              <w:spacing w:before="36" w:after="36"/>
              <w:jc w:val="center"/>
              <w:rPr>
                <w:rFonts w:ascii="Cambria" w:hAnsi="Cambria" w:eastAsia="Cambria"/>
              </w:rPr>
            </w:pPr>
            <w:r>
              <w:rPr>
                <w:rFonts w:eastAsia="Cambria" w:cs=""/>
                <w:kern w:val="0"/>
                <w:sz w:val="24"/>
                <w:szCs w:val="24"/>
                <w:lang w:val="en-US" w:eastAsia="en-US" w:bidi="ar-SA"/>
              </w:rPr>
              <w:t>Y</w:t>
            </w:r>
          </w:p>
        </w:tc>
        <w:tc>
          <w:tcPr>
            <w:tcW w:w="1980" w:type="dxa"/>
            <w:tcBorders/>
          </w:tcPr>
          <w:p>
            <w:pPr>
              <w:pStyle w:val="Compact"/>
              <w:widowControl w:val="false"/>
              <w:suppressAutoHyphens w:val="true"/>
              <w:spacing w:before="36" w:after="36"/>
              <w:jc w:val="center"/>
              <w:rPr>
                <w:rFonts w:ascii="Cambria" w:hAnsi="Cambria" w:eastAsia="Cambria"/>
              </w:rPr>
            </w:pPr>
            <w:r>
              <w:rPr>
                <w:rFonts w:eastAsia="Cambria" w:cs=""/>
                <w:kern w:val="0"/>
                <w:sz w:val="24"/>
                <w:szCs w:val="24"/>
                <w:lang w:val="en-US" w:eastAsia="en-US" w:bidi="ar-SA"/>
              </w:rPr>
              <w:t>Soil USDA class</w:t>
            </w:r>
          </w:p>
        </w:tc>
        <w:tc>
          <w:tcPr>
            <w:tcW w:w="1979" w:type="dxa"/>
            <w:tcBorders/>
          </w:tcPr>
          <w:p>
            <w:pPr>
              <w:pStyle w:val="Compact"/>
              <w:widowControl w:val="false"/>
              <w:suppressAutoHyphens w:val="true"/>
              <w:spacing w:before="36" w:after="36"/>
              <w:jc w:val="center"/>
              <w:rPr>
                <w:rFonts w:ascii="Cambria" w:hAnsi="Cambria" w:eastAsia="Cambria"/>
              </w:rPr>
            </w:pPr>
            <w:r>
              <w:rPr>
                <w:rFonts w:eastAsia="Cambria" w:cs=""/>
                <w:kern w:val="0"/>
                <w:sz w:val="24"/>
                <w:szCs w:val="24"/>
                <w:lang w:val="en-US" w:eastAsia="en-US" w:bidi="ar-SA"/>
              </w:rPr>
              <w:t>SoilGrids</w:t>
            </w:r>
          </w:p>
        </w:tc>
      </w:tr>
      <w:tr>
        <w:trPr/>
        <w:tc>
          <w:tcPr>
            <w:tcW w:w="1980" w:type="dxa"/>
            <w:tcBorders/>
          </w:tcPr>
          <w:p>
            <w:pPr>
              <w:pStyle w:val="Compact"/>
              <w:widowControl w:val="false"/>
              <w:suppressAutoHyphens w:val="true"/>
              <w:spacing w:before="36" w:after="36"/>
              <w:jc w:val="left"/>
              <w:rPr>
                <w:rFonts w:ascii="Cambria" w:hAnsi="Cambria" w:eastAsia="Cambria"/>
              </w:rPr>
            </w:pPr>
            <w:r>
              <w:rPr>
                <w:rFonts w:eastAsia="Cambria" w:cs=""/>
                <w:kern w:val="0"/>
                <w:sz w:val="24"/>
                <w:szCs w:val="24"/>
                <w:lang w:val="en-US" w:eastAsia="en-US" w:bidi="ar-SA"/>
              </w:rPr>
              <w:t>18.</w:t>
            </w:r>
          </w:p>
        </w:tc>
        <w:tc>
          <w:tcPr>
            <w:tcW w:w="1980" w:type="dxa"/>
            <w:tcBorders/>
          </w:tcPr>
          <w:p>
            <w:pPr>
              <w:pStyle w:val="Compact"/>
              <w:widowControl w:val="false"/>
              <w:suppressAutoHyphens w:val="true"/>
              <w:spacing w:before="36" w:after="36"/>
              <w:jc w:val="center"/>
              <w:rPr>
                <w:rFonts w:ascii="Cambria" w:hAnsi="Cambria" w:eastAsia="Cambria"/>
              </w:rPr>
            </w:pPr>
            <w:r>
              <w:rPr>
                <w:rFonts w:eastAsia="Cambria" w:cs=""/>
                <w:kern w:val="0"/>
                <w:sz w:val="24"/>
                <w:szCs w:val="24"/>
                <w:lang w:val="en-US" w:eastAsia="en-US" w:bidi="ar-SA"/>
              </w:rPr>
              <w:t>N</w:t>
            </w:r>
          </w:p>
        </w:tc>
        <w:tc>
          <w:tcPr>
            <w:tcW w:w="1980" w:type="dxa"/>
            <w:tcBorders/>
          </w:tcPr>
          <w:p>
            <w:pPr>
              <w:pStyle w:val="Compact"/>
              <w:widowControl w:val="false"/>
              <w:suppressAutoHyphens w:val="true"/>
              <w:spacing w:before="36" w:after="36"/>
              <w:jc w:val="center"/>
              <w:rPr>
                <w:rFonts w:ascii="Cambria" w:hAnsi="Cambria" w:eastAsia="Cambria"/>
              </w:rPr>
            </w:pPr>
            <w:r>
              <w:rPr>
                <w:rFonts w:eastAsia="Cambria" w:cs=""/>
                <w:kern w:val="0"/>
                <w:sz w:val="24"/>
                <w:szCs w:val="24"/>
                <w:lang w:val="en-US" w:eastAsia="en-US" w:bidi="ar-SA"/>
              </w:rPr>
              <w:t>Topographic elevation</w:t>
            </w:r>
          </w:p>
        </w:tc>
        <w:tc>
          <w:tcPr>
            <w:tcW w:w="1979" w:type="dxa"/>
            <w:tcBorders/>
          </w:tcPr>
          <w:p>
            <w:pPr>
              <w:pStyle w:val="Compact"/>
              <w:widowControl w:val="false"/>
              <w:suppressAutoHyphens w:val="true"/>
              <w:spacing w:before="36" w:after="36"/>
              <w:jc w:val="center"/>
              <w:rPr>
                <w:rFonts w:ascii="Cambria" w:hAnsi="Cambria" w:eastAsia="Cambria"/>
              </w:rPr>
            </w:pPr>
            <w:r>
              <w:rPr>
                <w:rFonts w:eastAsia="Cambria" w:cs=""/>
                <w:kern w:val="0"/>
                <w:sz w:val="24"/>
                <w:szCs w:val="24"/>
                <w:lang w:val="en-US" w:eastAsia="en-US" w:bidi="ar-SA"/>
              </w:rPr>
              <w:t>EarthEnv DEM</w:t>
            </w:r>
          </w:p>
        </w:tc>
      </w:tr>
      <w:tr>
        <w:trPr/>
        <w:tc>
          <w:tcPr>
            <w:tcW w:w="1980" w:type="dxa"/>
            <w:tcBorders/>
          </w:tcPr>
          <w:p>
            <w:pPr>
              <w:pStyle w:val="Compact"/>
              <w:widowControl w:val="false"/>
              <w:suppressAutoHyphens w:val="true"/>
              <w:spacing w:before="36" w:after="36"/>
              <w:jc w:val="left"/>
              <w:rPr>
                <w:rFonts w:ascii="Cambria" w:hAnsi="Cambria" w:eastAsia="Cambria"/>
              </w:rPr>
            </w:pPr>
            <w:r>
              <w:rPr>
                <w:rFonts w:eastAsia="Cambria" w:cs=""/>
                <w:kern w:val="0"/>
                <w:sz w:val="24"/>
                <w:szCs w:val="24"/>
                <w:lang w:val="en-US" w:eastAsia="en-US" w:bidi="ar-SA"/>
              </w:rPr>
              <w:t>19.</w:t>
            </w:r>
          </w:p>
        </w:tc>
        <w:tc>
          <w:tcPr>
            <w:tcW w:w="1980" w:type="dxa"/>
            <w:tcBorders/>
          </w:tcPr>
          <w:p>
            <w:pPr>
              <w:pStyle w:val="Compact"/>
              <w:widowControl w:val="false"/>
              <w:suppressAutoHyphens w:val="true"/>
              <w:spacing w:before="36" w:after="36"/>
              <w:jc w:val="center"/>
              <w:rPr>
                <w:rFonts w:ascii="Cambria" w:hAnsi="Cambria" w:eastAsia="Cambria"/>
              </w:rPr>
            </w:pPr>
            <w:r>
              <w:rPr>
                <w:rFonts w:eastAsia="Cambria" w:cs=""/>
                <w:kern w:val="0"/>
                <w:sz w:val="24"/>
                <w:szCs w:val="24"/>
                <w:lang w:val="en-US" w:eastAsia="en-US" w:bidi="ar-SA"/>
              </w:rPr>
              <w:t>Y</w:t>
            </w:r>
          </w:p>
        </w:tc>
        <w:tc>
          <w:tcPr>
            <w:tcW w:w="1980" w:type="dxa"/>
            <w:tcBorders/>
          </w:tcPr>
          <w:p>
            <w:pPr>
              <w:pStyle w:val="Compact"/>
              <w:widowControl w:val="false"/>
              <w:suppressAutoHyphens w:val="true"/>
              <w:spacing w:before="36" w:after="36"/>
              <w:jc w:val="center"/>
              <w:rPr>
                <w:rFonts w:ascii="Cambria" w:hAnsi="Cambria" w:eastAsia="Cambria"/>
              </w:rPr>
            </w:pPr>
            <w:r>
              <w:rPr>
                <w:rFonts w:eastAsia="Cambria" w:cs=""/>
                <w:kern w:val="0"/>
                <w:sz w:val="24"/>
                <w:szCs w:val="24"/>
                <w:lang w:val="en-US" w:eastAsia="en-US" w:bidi="ar-SA"/>
              </w:rPr>
              <w:t>Topographic elevation, moving window.</w:t>
            </w:r>
          </w:p>
        </w:tc>
        <w:tc>
          <w:tcPr>
            <w:tcW w:w="1979" w:type="dxa"/>
            <w:tcBorders/>
          </w:tcPr>
          <w:p>
            <w:pPr>
              <w:pStyle w:val="Compact"/>
              <w:widowControl w:val="false"/>
              <w:suppressAutoHyphens w:val="true"/>
              <w:spacing w:before="36" w:after="36"/>
              <w:jc w:val="center"/>
              <w:rPr>
                <w:rFonts w:ascii="Cambria" w:hAnsi="Cambria" w:eastAsia="Cambria"/>
              </w:rPr>
            </w:pPr>
            <w:r>
              <w:rPr>
                <w:rFonts w:eastAsia="Cambria" w:cs=""/>
                <w:kern w:val="0"/>
                <w:sz w:val="24"/>
                <w:szCs w:val="24"/>
                <w:lang w:val="en-US" w:eastAsia="en-US" w:bidi="ar-SA"/>
              </w:rPr>
              <w:t>EarthEnv DEM</w:t>
            </w:r>
          </w:p>
        </w:tc>
      </w:tr>
      <w:tr>
        <w:trPr/>
        <w:tc>
          <w:tcPr>
            <w:tcW w:w="1980" w:type="dxa"/>
            <w:tcBorders/>
          </w:tcPr>
          <w:p>
            <w:pPr>
              <w:pStyle w:val="Compact"/>
              <w:widowControl w:val="false"/>
              <w:suppressAutoHyphens w:val="true"/>
              <w:spacing w:before="36" w:after="36"/>
              <w:jc w:val="left"/>
              <w:rPr>
                <w:rFonts w:ascii="Cambria" w:hAnsi="Cambria" w:eastAsia="Cambria"/>
              </w:rPr>
            </w:pPr>
            <w:r>
              <w:rPr>
                <w:rFonts w:eastAsia="Cambria" w:cs=""/>
                <w:kern w:val="0"/>
                <w:sz w:val="24"/>
                <w:szCs w:val="24"/>
                <w:lang w:val="en-US" w:eastAsia="en-US" w:bidi="ar-SA"/>
              </w:rPr>
              <w:t>20.</w:t>
            </w:r>
          </w:p>
        </w:tc>
        <w:tc>
          <w:tcPr>
            <w:tcW w:w="1980" w:type="dxa"/>
            <w:tcBorders/>
          </w:tcPr>
          <w:p>
            <w:pPr>
              <w:pStyle w:val="Compact"/>
              <w:widowControl w:val="false"/>
              <w:suppressAutoHyphens w:val="true"/>
              <w:spacing w:before="36" w:after="36"/>
              <w:jc w:val="center"/>
              <w:rPr>
                <w:rFonts w:ascii="Cambria" w:hAnsi="Cambria" w:eastAsia="Cambria"/>
              </w:rPr>
            </w:pPr>
            <w:r>
              <w:rPr>
                <w:rFonts w:eastAsia="Cambria" w:cs=""/>
                <w:kern w:val="0"/>
                <w:sz w:val="24"/>
                <w:szCs w:val="24"/>
                <w:lang w:val="en-US" w:eastAsia="en-US" w:bidi="ar-SA"/>
              </w:rPr>
              <w:t>Y</w:t>
            </w:r>
          </w:p>
        </w:tc>
        <w:tc>
          <w:tcPr>
            <w:tcW w:w="1980" w:type="dxa"/>
            <w:tcBorders/>
          </w:tcPr>
          <w:p>
            <w:pPr>
              <w:pStyle w:val="Compact"/>
              <w:widowControl w:val="false"/>
              <w:suppressAutoHyphens w:val="true"/>
              <w:spacing w:before="36" w:after="36"/>
              <w:jc w:val="center"/>
              <w:rPr>
                <w:rFonts w:ascii="Cambria" w:hAnsi="Cambria" w:eastAsia="Cambria"/>
              </w:rPr>
            </w:pPr>
            <w:r>
              <w:rPr>
                <w:rFonts w:eastAsia="Cambria" w:cs=""/>
                <w:kern w:val="0"/>
                <w:sz w:val="24"/>
                <w:szCs w:val="24"/>
                <w:lang w:val="en-US" w:eastAsia="en-US" w:bidi="ar-SA"/>
              </w:rPr>
              <w:t>Topographic percent slope</w:t>
            </w:r>
          </w:p>
        </w:tc>
        <w:tc>
          <w:tcPr>
            <w:tcW w:w="1979" w:type="dxa"/>
            <w:tcBorders/>
          </w:tcPr>
          <w:p>
            <w:pPr>
              <w:pStyle w:val="Compact"/>
              <w:widowControl w:val="false"/>
              <w:suppressAutoHyphens w:val="true"/>
              <w:spacing w:before="36" w:after="36"/>
              <w:jc w:val="center"/>
              <w:rPr>
                <w:rFonts w:ascii="Cambria" w:hAnsi="Cambria" w:eastAsia="Cambria"/>
              </w:rPr>
            </w:pPr>
            <w:r>
              <w:rPr>
                <w:rFonts w:eastAsia="Cambria" w:cs=""/>
                <w:kern w:val="0"/>
                <w:sz w:val="24"/>
                <w:szCs w:val="24"/>
                <w:lang w:val="en-US" w:eastAsia="en-US" w:bidi="ar-SA"/>
              </w:rPr>
              <w:t>EarthEnv DEM</w:t>
            </w:r>
          </w:p>
        </w:tc>
      </w:tr>
      <w:tr>
        <w:trPr/>
        <w:tc>
          <w:tcPr>
            <w:tcW w:w="1980" w:type="dxa"/>
            <w:tcBorders/>
          </w:tcPr>
          <w:p>
            <w:pPr>
              <w:pStyle w:val="Compact"/>
              <w:widowControl w:val="false"/>
              <w:suppressAutoHyphens w:val="true"/>
              <w:spacing w:before="36" w:after="36"/>
              <w:jc w:val="left"/>
              <w:rPr>
                <w:rFonts w:ascii="Cambria" w:hAnsi="Cambria" w:eastAsia="Cambria"/>
              </w:rPr>
            </w:pPr>
            <w:r>
              <w:rPr>
                <w:rFonts w:eastAsia="Cambria" w:cs=""/>
                <w:kern w:val="0"/>
                <w:sz w:val="24"/>
                <w:szCs w:val="24"/>
                <w:lang w:val="en-US" w:eastAsia="en-US" w:bidi="ar-SA"/>
              </w:rPr>
              <w:t>21.</w:t>
            </w:r>
          </w:p>
        </w:tc>
        <w:tc>
          <w:tcPr>
            <w:tcW w:w="1980" w:type="dxa"/>
            <w:tcBorders/>
          </w:tcPr>
          <w:p>
            <w:pPr>
              <w:pStyle w:val="Compact"/>
              <w:widowControl w:val="false"/>
              <w:suppressAutoHyphens w:val="true"/>
              <w:spacing w:before="36" w:after="36"/>
              <w:jc w:val="center"/>
              <w:rPr>
                <w:rFonts w:ascii="Cambria" w:hAnsi="Cambria" w:eastAsia="Cambria"/>
              </w:rPr>
            </w:pPr>
            <w:r>
              <w:rPr>
                <w:rFonts w:eastAsia="Cambria" w:cs=""/>
                <w:kern w:val="0"/>
                <w:sz w:val="24"/>
                <w:szCs w:val="24"/>
                <w:lang w:val="en-US" w:eastAsia="en-US" w:bidi="ar-SA"/>
              </w:rPr>
              <w:t>Y</w:t>
            </w:r>
          </w:p>
        </w:tc>
        <w:tc>
          <w:tcPr>
            <w:tcW w:w="1980" w:type="dxa"/>
            <w:tcBorders/>
          </w:tcPr>
          <w:p>
            <w:pPr>
              <w:pStyle w:val="Compact"/>
              <w:widowControl w:val="false"/>
              <w:suppressAutoHyphens w:val="true"/>
              <w:spacing w:before="36" w:after="36"/>
              <w:jc w:val="center"/>
              <w:rPr>
                <w:rFonts w:ascii="Cambria" w:hAnsi="Cambria" w:eastAsia="Cambria"/>
              </w:rPr>
            </w:pPr>
            <w:r>
              <w:rPr>
                <w:rFonts w:eastAsia="Cambria" w:cs=""/>
                <w:kern w:val="0"/>
                <w:sz w:val="24"/>
                <w:szCs w:val="24"/>
                <w:lang w:val="en-US" w:eastAsia="en-US" w:bidi="ar-SA"/>
              </w:rPr>
              <w:t>Topographic wetness index</w:t>
            </w:r>
          </w:p>
        </w:tc>
        <w:tc>
          <w:tcPr>
            <w:tcW w:w="1979" w:type="dxa"/>
            <w:tcBorders/>
          </w:tcPr>
          <w:p>
            <w:pPr>
              <w:pStyle w:val="Compact"/>
              <w:widowControl w:val="false"/>
              <w:suppressAutoHyphens w:val="true"/>
              <w:spacing w:before="36" w:after="36"/>
              <w:jc w:val="center"/>
              <w:rPr>
                <w:rFonts w:ascii="Cambria" w:hAnsi="Cambria" w:eastAsia="Cambria"/>
              </w:rPr>
            </w:pPr>
            <w:r>
              <w:rPr>
                <w:rFonts w:eastAsia="Cambria" w:cs=""/>
                <w:kern w:val="0"/>
                <w:sz w:val="24"/>
                <w:szCs w:val="24"/>
                <w:lang w:val="en-US" w:eastAsia="en-US" w:bidi="ar-SA"/>
              </w:rPr>
              <w:t>EarthEnv DEM</w:t>
            </w:r>
          </w:p>
        </w:tc>
      </w:tr>
      <w:tr>
        <w:trPr/>
        <w:tc>
          <w:tcPr>
            <w:tcW w:w="1980" w:type="dxa"/>
            <w:tcBorders/>
          </w:tcPr>
          <w:p>
            <w:pPr>
              <w:pStyle w:val="Compact"/>
              <w:widowControl w:val="false"/>
              <w:suppressAutoHyphens w:val="true"/>
              <w:spacing w:before="36" w:after="36"/>
              <w:jc w:val="left"/>
              <w:rPr>
                <w:rFonts w:ascii="Cambria" w:hAnsi="Cambria" w:eastAsia="Cambria"/>
              </w:rPr>
            </w:pPr>
            <w:r>
              <w:rPr>
                <w:rFonts w:eastAsia="Cambria" w:cs=""/>
                <w:kern w:val="0"/>
                <w:sz w:val="24"/>
                <w:szCs w:val="24"/>
                <w:lang w:val="en-US" w:eastAsia="en-US" w:bidi="ar-SA"/>
              </w:rPr>
              <w:t>22.</w:t>
            </w:r>
          </w:p>
        </w:tc>
        <w:tc>
          <w:tcPr>
            <w:tcW w:w="1980" w:type="dxa"/>
            <w:tcBorders/>
          </w:tcPr>
          <w:p>
            <w:pPr>
              <w:pStyle w:val="Compact"/>
              <w:widowControl w:val="false"/>
              <w:suppressAutoHyphens w:val="true"/>
              <w:spacing w:before="36" w:after="36"/>
              <w:jc w:val="center"/>
              <w:rPr>
                <w:rFonts w:ascii="Cambria" w:hAnsi="Cambria" w:eastAsia="Cambria"/>
              </w:rPr>
            </w:pPr>
            <w:r>
              <w:rPr>
                <w:rFonts w:eastAsia="Cambria" w:cs=""/>
                <w:kern w:val="0"/>
                <w:sz w:val="24"/>
                <w:szCs w:val="24"/>
                <w:lang w:val="en-US" w:eastAsia="en-US" w:bidi="ar-SA"/>
              </w:rPr>
              <w:t>Y</w:t>
            </w:r>
          </w:p>
        </w:tc>
        <w:tc>
          <w:tcPr>
            <w:tcW w:w="1980" w:type="dxa"/>
            <w:tcBorders/>
          </w:tcPr>
          <w:p>
            <w:pPr>
              <w:pStyle w:val="Compact"/>
              <w:widowControl w:val="false"/>
              <w:suppressAutoHyphens w:val="true"/>
              <w:spacing w:before="36" w:after="36"/>
              <w:jc w:val="center"/>
              <w:rPr>
                <w:rFonts w:ascii="Cambria" w:hAnsi="Cambria" w:eastAsia="Cambria"/>
              </w:rPr>
            </w:pPr>
            <w:r>
              <w:rPr>
                <w:rFonts w:eastAsia="Cambria" w:cs=""/>
                <w:kern w:val="0"/>
                <w:sz w:val="24"/>
                <w:szCs w:val="24"/>
                <w:lang w:val="en-US" w:eastAsia="en-US" w:bidi="ar-SA"/>
              </w:rPr>
              <w:t>Topographic aspect</w:t>
            </w:r>
          </w:p>
        </w:tc>
        <w:tc>
          <w:tcPr>
            <w:tcW w:w="1979" w:type="dxa"/>
            <w:tcBorders/>
          </w:tcPr>
          <w:p>
            <w:pPr>
              <w:pStyle w:val="Compact"/>
              <w:widowControl w:val="false"/>
              <w:suppressAutoHyphens w:val="true"/>
              <w:spacing w:before="36" w:after="36"/>
              <w:jc w:val="center"/>
              <w:rPr>
                <w:rFonts w:ascii="Cambria" w:hAnsi="Cambria" w:eastAsia="Cambria"/>
              </w:rPr>
            </w:pPr>
            <w:r>
              <w:rPr>
                <w:rFonts w:eastAsia="Cambria" w:cs=""/>
                <w:kern w:val="0"/>
                <w:sz w:val="24"/>
                <w:szCs w:val="24"/>
                <w:lang w:val="en-US" w:eastAsia="en-US" w:bidi="ar-SA"/>
              </w:rPr>
              <w:t>EarthEnv DEM</w:t>
            </w:r>
          </w:p>
        </w:tc>
      </w:tr>
      <w:tr>
        <w:trPr/>
        <w:tc>
          <w:tcPr>
            <w:tcW w:w="1980" w:type="dxa"/>
            <w:tcBorders/>
          </w:tcPr>
          <w:p>
            <w:pPr>
              <w:pStyle w:val="Compact"/>
              <w:widowControl w:val="false"/>
              <w:suppressAutoHyphens w:val="true"/>
              <w:spacing w:before="36" w:after="36"/>
              <w:jc w:val="left"/>
              <w:rPr>
                <w:rFonts w:ascii="Cambria" w:hAnsi="Cambria" w:eastAsia="Cambria"/>
              </w:rPr>
            </w:pPr>
            <w:r>
              <w:rPr>
                <w:rFonts w:eastAsia="Cambria" w:cs=""/>
                <w:kern w:val="0"/>
                <w:sz w:val="24"/>
                <w:szCs w:val="24"/>
                <w:lang w:val="en-US" w:eastAsia="en-US" w:bidi="ar-SA"/>
              </w:rPr>
              <w:t>23.</w:t>
            </w:r>
          </w:p>
        </w:tc>
        <w:tc>
          <w:tcPr>
            <w:tcW w:w="1980" w:type="dxa"/>
            <w:tcBorders/>
          </w:tcPr>
          <w:p>
            <w:pPr>
              <w:pStyle w:val="Compact"/>
              <w:widowControl w:val="false"/>
              <w:suppressAutoHyphens w:val="true"/>
              <w:spacing w:before="36" w:after="36"/>
              <w:jc w:val="center"/>
              <w:rPr>
                <w:rFonts w:ascii="Cambria" w:hAnsi="Cambria" w:eastAsia="Cambria"/>
              </w:rPr>
            </w:pPr>
            <w:r>
              <w:rPr>
                <w:rFonts w:eastAsia="Cambria" w:cs=""/>
                <w:kern w:val="0"/>
                <w:sz w:val="24"/>
                <w:szCs w:val="24"/>
                <w:lang w:val="en-US" w:eastAsia="en-US" w:bidi="ar-SA"/>
              </w:rPr>
              <w:t>Y</w:t>
            </w:r>
          </w:p>
        </w:tc>
        <w:tc>
          <w:tcPr>
            <w:tcW w:w="1980" w:type="dxa"/>
            <w:tcBorders/>
          </w:tcPr>
          <w:p>
            <w:pPr>
              <w:pStyle w:val="Compact"/>
              <w:widowControl w:val="false"/>
              <w:suppressAutoHyphens w:val="true"/>
              <w:spacing w:before="36" w:after="36"/>
              <w:jc w:val="center"/>
              <w:rPr>
                <w:rFonts w:ascii="Cambria" w:hAnsi="Cambria" w:eastAsia="Cambria"/>
              </w:rPr>
            </w:pPr>
            <w:r>
              <w:rPr>
                <w:rFonts w:eastAsia="Cambria" w:cs=""/>
                <w:kern w:val="0"/>
                <w:sz w:val="24"/>
                <w:szCs w:val="24"/>
                <w:lang w:val="en-US" w:eastAsia="en-US" w:bidi="ar-SA"/>
              </w:rPr>
              <w:t>Annual potential solar radiation computed</w:t>
            </w:r>
          </w:p>
        </w:tc>
        <w:tc>
          <w:tcPr>
            <w:tcW w:w="1979" w:type="dxa"/>
            <w:tcBorders/>
          </w:tcPr>
          <w:p>
            <w:pPr>
              <w:pStyle w:val="Compact"/>
              <w:widowControl w:val="false"/>
              <w:suppressAutoHyphens w:val="true"/>
              <w:spacing w:before="36" w:after="36"/>
              <w:jc w:val="center"/>
              <w:rPr>
                <w:rFonts w:ascii="Cambria" w:hAnsi="Cambria" w:eastAsia="Cambria"/>
              </w:rPr>
            </w:pPr>
            <w:r>
              <w:rPr>
                <w:rFonts w:eastAsia="Cambria" w:cs=""/>
                <w:kern w:val="0"/>
                <w:sz w:val="24"/>
                <w:szCs w:val="24"/>
                <w:lang w:val="en-US" w:eastAsia="en-US" w:bidi="ar-SA"/>
              </w:rPr>
              <w:t>r.sun</w:t>
            </w:r>
          </w:p>
        </w:tc>
      </w:tr>
      <w:tr>
        <w:trPr/>
        <w:tc>
          <w:tcPr>
            <w:tcW w:w="1980" w:type="dxa"/>
            <w:tcBorders/>
          </w:tcPr>
          <w:p>
            <w:pPr>
              <w:pStyle w:val="Compact"/>
              <w:widowControl w:val="false"/>
              <w:suppressAutoHyphens w:val="true"/>
              <w:spacing w:before="36" w:after="36"/>
              <w:jc w:val="left"/>
              <w:rPr>
                <w:rFonts w:ascii="Cambria" w:hAnsi="Cambria" w:eastAsia="Cambria"/>
              </w:rPr>
            </w:pPr>
            <w:r>
              <w:rPr>
                <w:rFonts w:eastAsia="Cambria" w:cs=""/>
                <w:kern w:val="0"/>
                <w:sz w:val="24"/>
                <w:szCs w:val="24"/>
                <w:lang w:val="en-US" w:eastAsia="en-US" w:bidi="ar-SA"/>
              </w:rPr>
              <w:t>24.</w:t>
            </w:r>
          </w:p>
        </w:tc>
        <w:tc>
          <w:tcPr>
            <w:tcW w:w="1980" w:type="dxa"/>
            <w:tcBorders/>
          </w:tcPr>
          <w:p>
            <w:pPr>
              <w:pStyle w:val="Compact"/>
              <w:widowControl w:val="false"/>
              <w:suppressAutoHyphens w:val="true"/>
              <w:spacing w:before="36" w:after="36"/>
              <w:jc w:val="center"/>
              <w:rPr>
                <w:rFonts w:ascii="Cambria" w:hAnsi="Cambria" w:eastAsia="Cambria"/>
              </w:rPr>
            </w:pPr>
            <w:r>
              <w:rPr>
                <w:rFonts w:eastAsia="Cambria" w:cs=""/>
                <w:kern w:val="0"/>
                <w:sz w:val="24"/>
                <w:szCs w:val="24"/>
                <w:lang w:val="en-US" w:eastAsia="en-US" w:bidi="ar-SA"/>
              </w:rPr>
              <w:t>N</w:t>
            </w:r>
          </w:p>
        </w:tc>
        <w:tc>
          <w:tcPr>
            <w:tcW w:w="1980" w:type="dxa"/>
            <w:tcBorders/>
          </w:tcPr>
          <w:p>
            <w:pPr>
              <w:pStyle w:val="Compact"/>
              <w:widowControl w:val="false"/>
              <w:suppressAutoHyphens w:val="true"/>
              <w:spacing w:before="36" w:after="36"/>
              <w:jc w:val="center"/>
              <w:rPr>
                <w:rFonts w:ascii="Cambria" w:hAnsi="Cambria" w:eastAsia="Cambria"/>
              </w:rPr>
            </w:pPr>
            <w:r>
              <w:rPr>
                <w:rFonts w:eastAsia="Cambria" w:cs=""/>
                <w:kern w:val="0"/>
                <w:sz w:val="24"/>
                <w:szCs w:val="24"/>
                <w:lang w:val="en-US" w:eastAsia="en-US" w:bidi="ar-SA"/>
              </w:rPr>
              <w:t>Estimated actual (w/-cloud) solar radiation</w:t>
            </w:r>
          </w:p>
        </w:tc>
        <w:tc>
          <w:tcPr>
            <w:tcW w:w="1979" w:type="dxa"/>
            <w:tcBorders/>
          </w:tcPr>
          <w:p>
            <w:pPr>
              <w:pStyle w:val="Compact"/>
              <w:widowControl w:val="false"/>
              <w:suppressAutoHyphens w:val="true"/>
              <w:spacing w:before="36" w:after="36"/>
              <w:jc w:val="center"/>
              <w:rPr>
                <w:rFonts w:ascii="Cambria" w:hAnsi="Cambria" w:eastAsia="Cambria"/>
              </w:rPr>
            </w:pPr>
            <w:r>
              <w:rPr>
                <w:rFonts w:eastAsia="Cambria" w:cs=""/>
                <w:kern w:val="0"/>
                <w:sz w:val="24"/>
                <w:szCs w:val="24"/>
                <w:lang w:val="en-US" w:eastAsia="en-US" w:bidi="ar-SA"/>
              </w:rPr>
              <w:t>r.sun / Wilson et al. 2016</w:t>
            </w:r>
          </w:p>
        </w:tc>
      </w:tr>
      <w:tr>
        <w:trPr/>
        <w:tc>
          <w:tcPr>
            <w:tcW w:w="1980" w:type="dxa"/>
            <w:tcBorders/>
          </w:tcPr>
          <w:p>
            <w:pPr>
              <w:pStyle w:val="Compact"/>
              <w:widowControl w:val="false"/>
              <w:suppressAutoHyphens w:val="true"/>
              <w:spacing w:before="36" w:after="36"/>
              <w:jc w:val="left"/>
              <w:rPr>
                <w:rFonts w:ascii="Cambria" w:hAnsi="Cambria" w:eastAsia="Cambria"/>
              </w:rPr>
            </w:pPr>
            <w:r>
              <w:rPr>
                <w:rFonts w:eastAsia="Cambria" w:cs=""/>
                <w:kern w:val="0"/>
                <w:sz w:val="24"/>
                <w:szCs w:val="24"/>
                <w:lang w:val="en-US" w:eastAsia="en-US" w:bidi="ar-SA"/>
              </w:rPr>
              <w:t>25.</w:t>
            </w:r>
          </w:p>
        </w:tc>
        <w:tc>
          <w:tcPr>
            <w:tcW w:w="1980" w:type="dxa"/>
            <w:tcBorders/>
          </w:tcPr>
          <w:p>
            <w:pPr>
              <w:pStyle w:val="Compact"/>
              <w:widowControl w:val="false"/>
              <w:suppressAutoHyphens w:val="true"/>
              <w:spacing w:before="36" w:after="36"/>
              <w:jc w:val="center"/>
              <w:rPr>
                <w:rFonts w:ascii="Cambria" w:hAnsi="Cambria" w:eastAsia="Cambria"/>
              </w:rPr>
            </w:pPr>
            <w:r>
              <w:rPr>
                <w:rFonts w:eastAsia="Cambria" w:cs=""/>
                <w:kern w:val="0"/>
                <w:sz w:val="24"/>
                <w:szCs w:val="24"/>
                <w:lang w:val="en-US" w:eastAsia="en-US" w:bidi="ar-SA"/>
              </w:rPr>
              <w:t>Y</w:t>
            </w:r>
          </w:p>
        </w:tc>
        <w:tc>
          <w:tcPr>
            <w:tcW w:w="1980" w:type="dxa"/>
            <w:tcBorders/>
          </w:tcPr>
          <w:p>
            <w:pPr>
              <w:pStyle w:val="Compact"/>
              <w:widowControl w:val="false"/>
              <w:suppressAutoHyphens w:val="true"/>
              <w:spacing w:before="36" w:after="36"/>
              <w:jc w:val="center"/>
              <w:rPr>
                <w:rFonts w:ascii="Cambria" w:hAnsi="Cambria" w:eastAsia="Cambria"/>
              </w:rPr>
            </w:pPr>
            <w:r>
              <w:rPr>
                <w:rFonts w:eastAsia="Cambria" w:cs=""/>
                <w:kern w:val="0"/>
                <w:sz w:val="24"/>
                <w:szCs w:val="24"/>
                <w:lang w:val="en-US" w:eastAsia="en-US" w:bidi="ar-SA"/>
              </w:rPr>
              <w:t>Log-transformed distance to surface water</w:t>
            </w:r>
          </w:p>
        </w:tc>
        <w:tc>
          <w:tcPr>
            <w:tcW w:w="1979" w:type="dxa"/>
            <w:tcBorders/>
          </w:tcPr>
          <w:p>
            <w:pPr>
              <w:pStyle w:val="Compact"/>
              <w:widowControl w:val="false"/>
              <w:suppressAutoHyphens w:val="true"/>
              <w:spacing w:before="36" w:after="36"/>
              <w:jc w:val="center"/>
              <w:rPr>
                <w:rFonts w:ascii="Cambria" w:hAnsi="Cambria" w:eastAsia="Cambria"/>
              </w:rPr>
            </w:pPr>
            <w:r>
              <w:rPr>
                <w:rFonts w:eastAsia="Cambria" w:cs=""/>
                <w:kern w:val="0"/>
                <w:sz w:val="24"/>
                <w:szCs w:val="24"/>
                <w:lang w:val="en-US" w:eastAsia="en-US" w:bidi="ar-SA"/>
              </w:rPr>
              <w:t>Global Surface Water Explorer</w:t>
            </w:r>
          </w:p>
        </w:tc>
      </w:tr>
      <w:tr>
        <w:trPr/>
        <w:tc>
          <w:tcPr>
            <w:tcW w:w="1980" w:type="dxa"/>
            <w:tcBorders/>
          </w:tcPr>
          <w:p>
            <w:pPr>
              <w:pStyle w:val="Compact"/>
              <w:widowControl w:val="false"/>
              <w:suppressAutoHyphens w:val="true"/>
              <w:spacing w:before="36" w:after="36"/>
              <w:jc w:val="left"/>
              <w:rPr>
                <w:rFonts w:ascii="Cambria" w:hAnsi="Cambria" w:eastAsia="Cambria"/>
              </w:rPr>
            </w:pPr>
            <w:r>
              <w:rPr>
                <w:rFonts w:eastAsia="Cambria" w:cs=""/>
                <w:kern w:val="0"/>
                <w:sz w:val="24"/>
                <w:szCs w:val="24"/>
                <w:lang w:val="en-US" w:eastAsia="en-US" w:bidi="ar-SA"/>
              </w:rPr>
              <w:t>26.</w:t>
            </w:r>
          </w:p>
        </w:tc>
        <w:tc>
          <w:tcPr>
            <w:tcW w:w="1980" w:type="dxa"/>
            <w:tcBorders/>
          </w:tcPr>
          <w:p>
            <w:pPr>
              <w:pStyle w:val="Compact"/>
              <w:widowControl w:val="false"/>
              <w:suppressAutoHyphens w:val="true"/>
              <w:spacing w:before="36" w:after="36"/>
              <w:jc w:val="center"/>
              <w:rPr>
                <w:rFonts w:ascii="Cambria" w:hAnsi="Cambria" w:eastAsia="Cambria"/>
              </w:rPr>
            </w:pPr>
            <w:r>
              <w:rPr>
                <w:rFonts w:eastAsia="Cambria" w:cs=""/>
                <w:kern w:val="0"/>
                <w:sz w:val="24"/>
                <w:szCs w:val="24"/>
                <w:lang w:val="en-US" w:eastAsia="en-US" w:bidi="ar-SA"/>
              </w:rPr>
              <w:t>Y</w:t>
            </w:r>
          </w:p>
        </w:tc>
        <w:tc>
          <w:tcPr>
            <w:tcW w:w="1980" w:type="dxa"/>
            <w:tcBorders/>
          </w:tcPr>
          <w:p>
            <w:pPr>
              <w:pStyle w:val="Compact"/>
              <w:widowControl w:val="false"/>
              <w:suppressAutoHyphens w:val="true"/>
              <w:spacing w:before="36" w:after="36"/>
              <w:jc w:val="center"/>
              <w:rPr>
                <w:rFonts w:ascii="Cambria" w:hAnsi="Cambria" w:eastAsia="Cambria"/>
              </w:rPr>
            </w:pPr>
            <w:r>
              <w:rPr>
                <w:rFonts w:eastAsia="Cambria" w:cs=""/>
                <w:kern w:val="0"/>
                <w:sz w:val="24"/>
                <w:szCs w:val="24"/>
                <w:lang w:val="en-US" w:eastAsia="en-US" w:bidi="ar-SA"/>
              </w:rPr>
              <w:t>Percent surface water</w:t>
            </w:r>
          </w:p>
        </w:tc>
        <w:tc>
          <w:tcPr>
            <w:tcW w:w="1979" w:type="dxa"/>
            <w:tcBorders/>
          </w:tcPr>
          <w:p>
            <w:pPr>
              <w:pStyle w:val="Compact"/>
              <w:widowControl w:val="false"/>
              <w:suppressAutoHyphens w:val="true"/>
              <w:spacing w:before="36" w:after="36"/>
              <w:jc w:val="center"/>
              <w:rPr>
                <w:rFonts w:ascii="Cambria" w:hAnsi="Cambria" w:eastAsia="Cambria"/>
              </w:rPr>
            </w:pPr>
            <w:r>
              <w:rPr>
                <w:rFonts w:eastAsia="Cambria" w:cs=""/>
                <w:kern w:val="0"/>
                <w:sz w:val="24"/>
                <w:szCs w:val="24"/>
                <w:lang w:val="en-US" w:eastAsia="en-US" w:bidi="ar-SA"/>
              </w:rPr>
              <w:t>Global Surface Water Explorer</w:t>
            </w:r>
          </w:p>
        </w:tc>
      </w:tr>
    </w:tbl>
    <w:p>
      <w:pPr>
        <w:pStyle w:val="Normal"/>
        <w:rPr/>
      </w:pPr>
      <w:r>
        <w:rPr/>
      </w:r>
      <w:r>
        <w:br w:type="page"/>
      </w:r>
    </w:p>
    <w:p>
      <w:pPr>
        <w:pStyle w:val="TextBody"/>
        <w:rPr/>
      </w:pPr>
      <w:r>
        <w:rPr/>
        <w:t>Appendix 3 - Molecular Reference Specimen Table</w:t>
      </w:r>
    </w:p>
    <w:p>
      <w:pPr>
        <w:pStyle w:val="TextBody"/>
        <w:rPr/>
      </w:pPr>
      <w:r>
        <w:rPr/>
        <w:drawing>
          <wp:inline distT="0" distB="0" distL="0" distR="0">
            <wp:extent cx="5334000" cy="6903085"/>
            <wp:effectExtent l="0" t="0" r="0" b="0"/>
            <wp:docPr id="7"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7" descr=""/>
                    <pic:cNvPicPr>
                      <a:picLocks noChangeAspect="1" noChangeArrowheads="1"/>
                    </pic:cNvPicPr>
                  </pic:nvPicPr>
                  <pic:blipFill>
                    <a:blip r:embed="rId12"/>
                    <a:stretch>
                      <a:fillRect/>
                    </a:stretch>
                  </pic:blipFill>
                  <pic:spPr bwMode="auto">
                    <a:xfrm>
                      <a:off x="0" y="0"/>
                      <a:ext cx="5334000" cy="6903085"/>
                    </a:xfrm>
                    <a:prstGeom prst="rect">
                      <a:avLst/>
                    </a:prstGeom>
                  </pic:spPr>
                </pic:pic>
              </a:graphicData>
            </a:graphic>
          </wp:inline>
        </w:drawing>
      </w:r>
    </w:p>
    <w:p>
      <w:pPr>
        <w:pStyle w:val="Normal"/>
        <w:rPr/>
      </w:pPr>
      <w:r>
        <w:rPr/>
      </w:r>
      <w:r>
        <w:br w:type="page"/>
      </w:r>
    </w:p>
    <w:p>
      <w:pPr>
        <w:pStyle w:val="TextBody"/>
        <w:rPr/>
      </w:pPr>
      <w:r>
        <w:rPr/>
        <w:drawing>
          <wp:inline distT="0" distB="0" distL="0" distR="0">
            <wp:extent cx="5334000" cy="6903085"/>
            <wp:effectExtent l="0" t="0" r="0" b="0"/>
            <wp:docPr id="8"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8" descr=""/>
                    <pic:cNvPicPr>
                      <a:picLocks noChangeAspect="1" noChangeArrowheads="1"/>
                    </pic:cNvPicPr>
                  </pic:nvPicPr>
                  <pic:blipFill>
                    <a:blip r:embed="rId13"/>
                    <a:stretch>
                      <a:fillRect/>
                    </a:stretch>
                  </pic:blipFill>
                  <pic:spPr bwMode="auto">
                    <a:xfrm>
                      <a:off x="0" y="0"/>
                      <a:ext cx="5334000" cy="6903085"/>
                    </a:xfrm>
                    <a:prstGeom prst="rect">
                      <a:avLst/>
                    </a:prstGeom>
                  </pic:spPr>
                </pic:pic>
              </a:graphicData>
            </a:graphic>
          </wp:inline>
        </w:drawing>
      </w:r>
    </w:p>
    <w:p>
      <w:pPr>
        <w:pStyle w:val="Normal"/>
        <w:rPr/>
      </w:pPr>
      <w:r>
        <w:rPr/>
      </w:r>
      <w:r>
        <w:br w:type="page"/>
      </w:r>
    </w:p>
    <w:p>
      <w:pPr>
        <w:pStyle w:val="TextBody"/>
        <w:rPr/>
      </w:pPr>
      <w:r>
        <w:rPr/>
        <w:t>Appendix 4 - All Pollen Reference Slides Used to Establish Morphotypes</w:t>
      </w:r>
    </w:p>
    <w:p>
      <w:pPr>
        <w:pStyle w:val="TextBody"/>
        <w:rPr/>
      </w:pPr>
      <w:r>
        <w:rPr/>
        <w:drawing>
          <wp:inline distT="0" distB="0" distL="0" distR="0">
            <wp:extent cx="5334000" cy="6903085"/>
            <wp:effectExtent l="0" t="0" r="0" b="0"/>
            <wp:docPr id="9"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9" descr=""/>
                    <pic:cNvPicPr>
                      <a:picLocks noChangeAspect="1" noChangeArrowheads="1"/>
                    </pic:cNvPicPr>
                  </pic:nvPicPr>
                  <pic:blipFill>
                    <a:blip r:embed="rId14"/>
                    <a:stretch>
                      <a:fillRect/>
                    </a:stretch>
                  </pic:blipFill>
                  <pic:spPr bwMode="auto">
                    <a:xfrm>
                      <a:off x="0" y="0"/>
                      <a:ext cx="5334000" cy="6903085"/>
                    </a:xfrm>
                    <a:prstGeom prst="rect">
                      <a:avLst/>
                    </a:prstGeom>
                  </pic:spPr>
                </pic:pic>
              </a:graphicData>
            </a:graphic>
          </wp:inline>
        </w:drawing>
      </w:r>
    </w:p>
    <w:p>
      <w:pPr>
        <w:pStyle w:val="Normal"/>
        <w:rPr/>
      </w:pPr>
      <w:r>
        <w:rPr/>
      </w:r>
      <w:r>
        <w:br w:type="page"/>
      </w:r>
    </w:p>
    <w:p>
      <w:pPr>
        <w:pStyle w:val="TextBody"/>
        <w:rPr/>
      </w:pPr>
      <w:r>
        <w:rPr/>
        <w:drawing>
          <wp:inline distT="0" distB="0" distL="0" distR="0">
            <wp:extent cx="5334000" cy="6903085"/>
            <wp:effectExtent l="0" t="0" r="0" b="0"/>
            <wp:docPr id="10"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0" descr=""/>
                    <pic:cNvPicPr>
                      <a:picLocks noChangeAspect="1" noChangeArrowheads="1"/>
                    </pic:cNvPicPr>
                  </pic:nvPicPr>
                  <pic:blipFill>
                    <a:blip r:embed="rId15"/>
                    <a:stretch>
                      <a:fillRect/>
                    </a:stretch>
                  </pic:blipFill>
                  <pic:spPr bwMode="auto">
                    <a:xfrm>
                      <a:off x="0" y="0"/>
                      <a:ext cx="5334000" cy="6903085"/>
                    </a:xfrm>
                    <a:prstGeom prst="rect">
                      <a:avLst/>
                    </a:prstGeom>
                  </pic:spPr>
                </pic:pic>
              </a:graphicData>
            </a:graphic>
          </wp:inline>
        </w:drawing>
      </w:r>
    </w:p>
    <w:p>
      <w:pPr>
        <w:pStyle w:val="Normal"/>
        <w:rPr/>
      </w:pPr>
      <w:r>
        <w:rPr/>
      </w:r>
      <w:r>
        <w:br w:type="page"/>
      </w:r>
    </w:p>
    <w:p>
      <w:pPr>
        <w:pStyle w:val="TextBody"/>
        <w:rPr/>
      </w:pPr>
      <w:r>
        <w:rPr/>
        <w:drawing>
          <wp:inline distT="0" distB="0" distL="0" distR="0">
            <wp:extent cx="5334000" cy="6903085"/>
            <wp:effectExtent l="0" t="0" r="0" b="0"/>
            <wp:docPr id="11"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1" descr=""/>
                    <pic:cNvPicPr>
                      <a:picLocks noChangeAspect="1" noChangeArrowheads="1"/>
                    </pic:cNvPicPr>
                  </pic:nvPicPr>
                  <pic:blipFill>
                    <a:blip r:embed="rId16"/>
                    <a:stretch>
                      <a:fillRect/>
                    </a:stretch>
                  </pic:blipFill>
                  <pic:spPr bwMode="auto">
                    <a:xfrm>
                      <a:off x="0" y="0"/>
                      <a:ext cx="5334000" cy="6903085"/>
                    </a:xfrm>
                    <a:prstGeom prst="rect">
                      <a:avLst/>
                    </a:prstGeom>
                  </pic:spPr>
                </pic:pic>
              </a:graphicData>
            </a:graphic>
          </wp:inline>
        </w:drawing>
      </w:r>
    </w:p>
    <w:p>
      <w:pPr>
        <w:pStyle w:val="Normal"/>
        <w:rPr/>
      </w:pPr>
      <w:r>
        <w:rPr/>
      </w:r>
      <w:r>
        <w:br w:type="page"/>
      </w:r>
    </w:p>
    <w:p>
      <w:pPr>
        <w:pStyle w:val="Heading3"/>
        <w:rPr/>
      </w:pPr>
      <w:r>
        <w:rPr/>
        <w:t>POLLEN CLUSTER RESULTS SHOULD BE HERE</w:t>
      </w:r>
    </w:p>
    <w:p>
      <w:pPr>
        <w:pStyle w:val="Normal"/>
        <w:rPr/>
      </w:pPr>
      <w:r>
        <w:rPr/>
      </w:r>
      <w:r>
        <w:br w:type="page"/>
      </w:r>
    </w:p>
    <w:p>
      <w:pPr>
        <w:pStyle w:val="FirstParagraph"/>
        <w:rPr/>
      </w:pPr>
      <w:r>
        <w:rPr/>
        <w:t>Appendix XX - Pollen Key</w:t>
      </w:r>
    </w:p>
    <w:p>
      <w:pPr>
        <w:pStyle w:val="TextBody"/>
        <w:rPr/>
      </w:pPr>
      <w:r>
        <w:rPr/>
        <w:drawing>
          <wp:inline distT="0" distB="0" distL="0" distR="0">
            <wp:extent cx="5334000" cy="6903085"/>
            <wp:effectExtent l="0" t="0" r="0" b="0"/>
            <wp:docPr id="12"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2" descr=""/>
                    <pic:cNvPicPr>
                      <a:picLocks noChangeAspect="1" noChangeArrowheads="1"/>
                    </pic:cNvPicPr>
                  </pic:nvPicPr>
                  <pic:blipFill>
                    <a:blip r:embed="rId17"/>
                    <a:stretch>
                      <a:fillRect/>
                    </a:stretch>
                  </pic:blipFill>
                  <pic:spPr bwMode="auto">
                    <a:xfrm>
                      <a:off x="0" y="0"/>
                      <a:ext cx="5334000" cy="6903085"/>
                    </a:xfrm>
                    <a:prstGeom prst="rect">
                      <a:avLst/>
                    </a:prstGeom>
                  </pic:spPr>
                </pic:pic>
              </a:graphicData>
            </a:graphic>
          </wp:inline>
        </w:drawing>
      </w:r>
    </w:p>
    <w:p>
      <w:pPr>
        <w:pStyle w:val="Normal"/>
        <w:rPr/>
      </w:pPr>
      <w:r>
        <w:rPr/>
      </w:r>
      <w:r>
        <w:br w:type="page"/>
      </w:r>
    </w:p>
    <w:p>
      <w:pPr>
        <w:pStyle w:val="TextBody"/>
        <w:rPr/>
      </w:pPr>
      <w:r>
        <w:rPr/>
        <w:drawing>
          <wp:inline distT="0" distB="0" distL="0" distR="0">
            <wp:extent cx="5334000" cy="6903085"/>
            <wp:effectExtent l="0" t="0" r="0" b="0"/>
            <wp:docPr id="13"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3" descr=""/>
                    <pic:cNvPicPr>
                      <a:picLocks noChangeAspect="1" noChangeArrowheads="1"/>
                    </pic:cNvPicPr>
                  </pic:nvPicPr>
                  <pic:blipFill>
                    <a:blip r:embed="rId18"/>
                    <a:stretch>
                      <a:fillRect/>
                    </a:stretch>
                  </pic:blipFill>
                  <pic:spPr bwMode="auto">
                    <a:xfrm>
                      <a:off x="0" y="0"/>
                      <a:ext cx="5334000" cy="6903085"/>
                    </a:xfrm>
                    <a:prstGeom prst="rect">
                      <a:avLst/>
                    </a:prstGeom>
                  </pic:spPr>
                </pic:pic>
              </a:graphicData>
            </a:graphic>
          </wp:inline>
        </w:drawing>
      </w:r>
    </w:p>
    <w:p>
      <w:pPr>
        <w:pStyle w:val="Normal"/>
        <w:rPr/>
      </w:pPr>
      <w:r>
        <w:rPr/>
      </w:r>
      <w:r>
        <w:br w:type="page"/>
      </w:r>
    </w:p>
    <w:p>
      <w:pPr>
        <w:pStyle w:val="TextBody"/>
        <w:rPr/>
      </w:pPr>
      <w:r>
        <w:rPr/>
        <w:t>APPENDIX XX - Pollen Morphotype Richness Rarefaction Curves</w:t>
      </w:r>
    </w:p>
    <w:p>
      <w:pPr>
        <w:pStyle w:val="TextBody"/>
        <w:rPr/>
      </w:pPr>
      <w:r>
        <w:rPr/>
        <w:drawing>
          <wp:inline distT="0" distB="0" distL="0" distR="0">
            <wp:extent cx="5334000" cy="7468235"/>
            <wp:effectExtent l="0" t="0" r="0" b="0"/>
            <wp:docPr id="14"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4" descr=""/>
                    <pic:cNvPicPr>
                      <a:picLocks noChangeAspect="1" noChangeArrowheads="1"/>
                    </pic:cNvPicPr>
                  </pic:nvPicPr>
                  <pic:blipFill>
                    <a:blip r:embed="rId19"/>
                    <a:stretch>
                      <a:fillRect/>
                    </a:stretch>
                  </pic:blipFill>
                  <pic:spPr bwMode="auto">
                    <a:xfrm>
                      <a:off x="0" y="0"/>
                      <a:ext cx="5334000" cy="7468235"/>
                    </a:xfrm>
                    <a:prstGeom prst="rect">
                      <a:avLst/>
                    </a:prstGeom>
                  </pic:spPr>
                </pic:pic>
              </a:graphicData>
            </a:graphic>
          </wp:inline>
        </w:drawing>
      </w:r>
    </w:p>
    <w:p>
      <w:pPr>
        <w:pStyle w:val="Normal"/>
        <w:rPr/>
      </w:pPr>
      <w:r>
        <w:rPr/>
      </w:r>
      <w:r>
        <w:br w:type="page"/>
      </w:r>
    </w:p>
    <w:p>
      <w:pPr>
        <w:pStyle w:val="TextBody"/>
        <w:rPr/>
      </w:pPr>
      <w:r>
        <w:rPr/>
        <w:t>Appendix XX - Pollen Morphotype Abundance Rarefaction Curves</w:t>
      </w:r>
    </w:p>
    <w:p>
      <w:pPr>
        <w:pStyle w:val="TextBody"/>
        <w:rPr/>
      </w:pPr>
      <w:r>
        <w:rPr/>
        <w:drawing>
          <wp:inline distT="0" distB="0" distL="0" distR="0">
            <wp:extent cx="5334000" cy="7112635"/>
            <wp:effectExtent l="0" t="0" r="0" b="0"/>
            <wp:docPr id="15"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5" descr=""/>
                    <pic:cNvPicPr>
                      <a:picLocks noChangeAspect="1" noChangeArrowheads="1"/>
                    </pic:cNvPicPr>
                  </pic:nvPicPr>
                  <pic:blipFill>
                    <a:blip r:embed="rId20"/>
                    <a:stretch>
                      <a:fillRect/>
                    </a:stretch>
                  </pic:blipFill>
                  <pic:spPr bwMode="auto">
                    <a:xfrm>
                      <a:off x="0" y="0"/>
                      <a:ext cx="5334000" cy="7112635"/>
                    </a:xfrm>
                    <a:prstGeom prst="rect">
                      <a:avLst/>
                    </a:prstGeom>
                  </pic:spPr>
                </pic:pic>
              </a:graphicData>
            </a:graphic>
          </wp:inline>
        </w:drawing>
      </w:r>
    </w:p>
    <w:p>
      <w:pPr>
        <w:pStyle w:val="Normal"/>
        <w:rPr/>
      </w:pPr>
      <w:r>
        <w:rPr/>
      </w:r>
      <w:r>
        <w:br w:type="page"/>
      </w:r>
    </w:p>
    <w:p>
      <w:pPr>
        <w:pStyle w:val="TextBody"/>
        <w:rPr/>
      </w:pPr>
      <w:r>
        <w:rPr/>
        <w:t>Appendix XX - All Species in the Sequence Databases</w:t>
      </w:r>
    </w:p>
    <w:p>
      <w:pPr>
        <w:pStyle w:val="TextBody"/>
        <w:rPr/>
      </w:pPr>
      <w:r>
        <w:rPr/>
        <w:drawing>
          <wp:inline distT="0" distB="0" distL="0" distR="0">
            <wp:extent cx="5334000" cy="6903085"/>
            <wp:effectExtent l="0" t="0" r="0" b="0"/>
            <wp:docPr id="16"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6" descr=""/>
                    <pic:cNvPicPr>
                      <a:picLocks noChangeAspect="1" noChangeArrowheads="1"/>
                    </pic:cNvPicPr>
                  </pic:nvPicPr>
                  <pic:blipFill>
                    <a:blip r:embed="rId21"/>
                    <a:stretch>
                      <a:fillRect/>
                    </a:stretch>
                  </pic:blipFill>
                  <pic:spPr bwMode="auto">
                    <a:xfrm>
                      <a:off x="0" y="0"/>
                      <a:ext cx="5334000" cy="6903085"/>
                    </a:xfrm>
                    <a:prstGeom prst="rect">
                      <a:avLst/>
                    </a:prstGeom>
                  </pic:spPr>
                </pic:pic>
              </a:graphicData>
            </a:graphic>
          </wp:inline>
        </w:drawing>
      </w:r>
    </w:p>
    <w:p>
      <w:pPr>
        <w:pStyle w:val="Normal"/>
        <w:rPr/>
      </w:pPr>
      <w:r>
        <w:rPr/>
      </w:r>
      <w:r>
        <w:br w:type="page"/>
      </w:r>
    </w:p>
    <w:p>
      <w:pPr>
        <w:pStyle w:val="TextBody"/>
        <w:rPr/>
      </w:pPr>
      <w:r>
        <w:rPr/>
        <w:drawing>
          <wp:inline distT="0" distB="0" distL="0" distR="0">
            <wp:extent cx="5334000" cy="6903085"/>
            <wp:effectExtent l="0" t="0" r="0" b="0"/>
            <wp:docPr id="17"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7" descr=""/>
                    <pic:cNvPicPr>
                      <a:picLocks noChangeAspect="1" noChangeArrowheads="1"/>
                    </pic:cNvPicPr>
                  </pic:nvPicPr>
                  <pic:blipFill>
                    <a:blip r:embed="rId22"/>
                    <a:stretch>
                      <a:fillRect/>
                    </a:stretch>
                  </pic:blipFill>
                  <pic:spPr bwMode="auto">
                    <a:xfrm>
                      <a:off x="0" y="0"/>
                      <a:ext cx="5334000" cy="6903085"/>
                    </a:xfrm>
                    <a:prstGeom prst="rect">
                      <a:avLst/>
                    </a:prstGeom>
                  </pic:spPr>
                </pic:pic>
              </a:graphicData>
            </a:graphic>
          </wp:inline>
        </w:drawing>
      </w:r>
    </w:p>
    <w:p>
      <w:pPr>
        <w:pStyle w:val="Normal"/>
        <w:rPr/>
      </w:pPr>
      <w:r>
        <w:rPr/>
      </w:r>
      <w:r>
        <w:br w:type="page"/>
      </w:r>
    </w:p>
    <w:p>
      <w:pPr>
        <w:pStyle w:val="TextBody"/>
        <w:rPr/>
      </w:pPr>
      <w:r>
        <w:rPr/>
        <w:t>Appendix XX - All Species in the Sequence Databases (con’t)</w:t>
      </w:r>
    </w:p>
    <w:p>
      <w:pPr>
        <w:pStyle w:val="TextBody"/>
        <w:rPr/>
      </w:pPr>
      <w:r>
        <w:rPr/>
        <w:drawing>
          <wp:inline distT="0" distB="0" distL="0" distR="0">
            <wp:extent cx="5334000" cy="6903085"/>
            <wp:effectExtent l="0" t="0" r="0" b="0"/>
            <wp:docPr id="18"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8" descr=""/>
                    <pic:cNvPicPr>
                      <a:picLocks noChangeAspect="1" noChangeArrowheads="1"/>
                    </pic:cNvPicPr>
                  </pic:nvPicPr>
                  <pic:blipFill>
                    <a:blip r:embed="rId23"/>
                    <a:stretch>
                      <a:fillRect/>
                    </a:stretch>
                  </pic:blipFill>
                  <pic:spPr bwMode="auto">
                    <a:xfrm>
                      <a:off x="0" y="0"/>
                      <a:ext cx="5334000" cy="6903085"/>
                    </a:xfrm>
                    <a:prstGeom prst="rect">
                      <a:avLst/>
                    </a:prstGeom>
                  </pic:spPr>
                </pic:pic>
              </a:graphicData>
            </a:graphic>
          </wp:inline>
        </w:drawing>
      </w:r>
    </w:p>
    <w:p>
      <w:pPr>
        <w:pStyle w:val="Normal"/>
        <w:rPr/>
      </w:pPr>
      <w:r>
        <w:rPr/>
      </w:r>
      <w:r>
        <w:br w:type="page"/>
      </w:r>
    </w:p>
    <w:p>
      <w:pPr>
        <w:pStyle w:val="TextBody"/>
        <w:rPr/>
      </w:pPr>
      <w:r>
        <w:rPr/>
        <w:t>Appendix XX - All Species in the Sequence Databases (con’t)</w:t>
      </w:r>
    </w:p>
    <w:p>
      <w:pPr>
        <w:pStyle w:val="TextBody"/>
        <w:rPr/>
      </w:pPr>
      <w:r>
        <w:rPr/>
        <w:drawing>
          <wp:inline distT="0" distB="0" distL="0" distR="0">
            <wp:extent cx="5334000" cy="6903085"/>
            <wp:effectExtent l="0" t="0" r="0" b="0"/>
            <wp:docPr id="19"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9" descr=""/>
                    <pic:cNvPicPr>
                      <a:picLocks noChangeAspect="1" noChangeArrowheads="1"/>
                    </pic:cNvPicPr>
                  </pic:nvPicPr>
                  <pic:blipFill>
                    <a:blip r:embed="rId24"/>
                    <a:stretch>
                      <a:fillRect/>
                    </a:stretch>
                  </pic:blipFill>
                  <pic:spPr bwMode="auto">
                    <a:xfrm>
                      <a:off x="0" y="0"/>
                      <a:ext cx="5334000" cy="6903085"/>
                    </a:xfrm>
                    <a:prstGeom prst="rect">
                      <a:avLst/>
                    </a:prstGeom>
                  </pic:spPr>
                </pic:pic>
              </a:graphicData>
            </a:graphic>
          </wp:inline>
        </w:drawing>
      </w:r>
    </w:p>
    <w:p>
      <w:pPr>
        <w:pStyle w:val="Normal"/>
        <w:rPr/>
      </w:pPr>
      <w:r>
        <w:rPr/>
      </w:r>
      <w:r>
        <w:br w:type="page"/>
      </w:r>
    </w:p>
    <w:p>
      <w:pPr>
        <w:pStyle w:val="TextBody"/>
        <w:rPr/>
      </w:pPr>
      <w:r>
        <w:rPr/>
        <w:t>Appendix XX - Reads Per Loci</w:t>
      </w:r>
    </w:p>
    <w:p>
      <w:pPr>
        <w:pStyle w:val="TextBody"/>
        <w:rPr/>
      </w:pPr>
      <w:r>
        <w:rPr/>
        <w:drawing>
          <wp:inline distT="0" distB="0" distL="0" distR="0">
            <wp:extent cx="5334000" cy="5334000"/>
            <wp:effectExtent l="0" t="0" r="0" b="0"/>
            <wp:docPr id="20"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20" descr=""/>
                    <pic:cNvPicPr>
                      <a:picLocks noChangeAspect="1" noChangeArrowheads="1"/>
                    </pic:cNvPicPr>
                  </pic:nvPicPr>
                  <pic:blipFill>
                    <a:blip r:embed="rId25"/>
                    <a:stretch>
                      <a:fillRect/>
                    </a:stretch>
                  </pic:blipFill>
                  <pic:spPr bwMode="auto">
                    <a:xfrm>
                      <a:off x="0" y="0"/>
                      <a:ext cx="5334000" cy="5334000"/>
                    </a:xfrm>
                    <a:prstGeom prst="rect">
                      <a:avLst/>
                    </a:prstGeom>
                  </pic:spPr>
                </pic:pic>
              </a:graphicData>
            </a:graphic>
          </wp:inline>
        </w:drawing>
      </w:r>
    </w:p>
    <w:p>
      <w:pPr>
        <w:pStyle w:val="TextBody"/>
        <w:rPr/>
      </w:pPr>
      <w:r>
        <w:rPr/>
        <w:drawing>
          <wp:inline distT="0" distB="0" distL="0" distR="0">
            <wp:extent cx="5334000" cy="5334000"/>
            <wp:effectExtent l="0" t="0" r="0" b="0"/>
            <wp:docPr id="21"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21" descr=""/>
                    <pic:cNvPicPr>
                      <a:picLocks noChangeAspect="1" noChangeArrowheads="1"/>
                    </pic:cNvPicPr>
                  </pic:nvPicPr>
                  <pic:blipFill>
                    <a:blip r:embed="rId26"/>
                    <a:stretch>
                      <a:fillRect/>
                    </a:stretch>
                  </pic:blipFill>
                  <pic:spPr bwMode="auto">
                    <a:xfrm>
                      <a:off x="0" y="0"/>
                      <a:ext cx="5334000" cy="5334000"/>
                    </a:xfrm>
                    <a:prstGeom prst="rect">
                      <a:avLst/>
                    </a:prstGeom>
                  </pic:spPr>
                </pic:pic>
              </a:graphicData>
            </a:graphic>
          </wp:inline>
        </w:drawing>
      </w:r>
    </w:p>
    <w:p>
      <w:pPr>
        <w:pStyle w:val="Normal"/>
        <w:rPr/>
      </w:pPr>
      <w:r>
        <w:rPr/>
      </w:r>
      <w:r>
        <w:br w:type="page"/>
      </w:r>
    </w:p>
    <w:p>
      <w:pPr>
        <w:pStyle w:val="TextBody"/>
        <w:rPr/>
      </w:pPr>
      <w:r>
        <w:rPr/>
        <w:t>Appendix XX - Comparison of Kraken2, Bracken, and BLAST</w:t>
      </w:r>
    </w:p>
    <w:p>
      <w:pPr>
        <w:pStyle w:val="TextBody"/>
        <w:rPr/>
      </w:pPr>
      <w:r>
        <w:rPr/>
        <w:drawing>
          <wp:inline distT="0" distB="0" distL="0" distR="0">
            <wp:extent cx="5334000" cy="7539355"/>
            <wp:effectExtent l="0" t="0" r="0" b="0"/>
            <wp:docPr id="22"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2" descr=""/>
                    <pic:cNvPicPr>
                      <a:picLocks noChangeAspect="1" noChangeArrowheads="1"/>
                    </pic:cNvPicPr>
                  </pic:nvPicPr>
                  <pic:blipFill>
                    <a:blip r:embed="rId27"/>
                    <a:stretch>
                      <a:fillRect/>
                    </a:stretch>
                  </pic:blipFill>
                  <pic:spPr bwMode="auto">
                    <a:xfrm>
                      <a:off x="0" y="0"/>
                      <a:ext cx="5334000" cy="7539355"/>
                    </a:xfrm>
                    <a:prstGeom prst="rect">
                      <a:avLst/>
                    </a:prstGeom>
                  </pic:spPr>
                </pic:pic>
              </a:graphicData>
            </a:graphic>
          </wp:inline>
        </w:drawing>
      </w:r>
    </w:p>
    <w:p>
      <w:pPr>
        <w:pStyle w:val="Normal"/>
        <w:rPr/>
      </w:pPr>
      <w:r>
        <w:rPr/>
      </w:r>
      <w:r>
        <w:br w:type="page"/>
      </w:r>
    </w:p>
    <w:p>
      <w:pPr>
        <w:pStyle w:val="TextBody"/>
        <w:rPr/>
      </w:pPr>
      <w:r>
        <w:rPr/>
        <w:t>Appendix XX - Models used for Species Distribution Model Ensembles</w:t>
      </w:r>
    </w:p>
    <w:p>
      <w:pPr>
        <w:pStyle w:val="TextBody"/>
        <w:rPr/>
      </w:pPr>
      <w:r>
        <w:rPr/>
        <w:t>The two machine learning models utilize Ensemble learning.</w:t>
      </w:r>
    </w:p>
    <w:p>
      <w:pPr>
        <w:pStyle w:val="TextBody"/>
        <w:rPr/>
      </w:pPr>
      <w:r>
        <w:rPr>
          <w:b/>
          <w:bCs/>
        </w:rPr>
        <w:t>Ensemble learning</w:t>
      </w:r>
      <w:r>
        <w:rPr/>
        <w:t xml:space="preserve"> utilizes many sets of trees, each tree being composed of many binary decisions, to create a single model. Each independent variable ( - or </w:t>
      </w:r>
      <w:r>
        <w:rPr>
          <w:i/>
          <w:iCs/>
        </w:rPr>
        <w:t>feature</w:t>
      </w:r>
      <w:r>
        <w:rPr/>
        <w:t>) may become a node on the tree - i.e. a location on the tree where a binary decision will move towards a predicted outcome. Each of the decision tree models which ensemble learning utilizes is a weak model, each of which may suffer due to high variance or bias, but which produce better outcomes than would be expected via chance. When ensembled these models generate a strong model, a model which should have more appropriately balanced variance and bias and predicts outcomes which are more strongly correlated with the expected values than the individual weak models.</w:t>
      </w:r>
    </w:p>
    <w:p>
      <w:pPr>
        <w:pStyle w:val="TextBody"/>
        <w:rPr/>
      </w:pPr>
      <w:r>
        <w:rPr>
          <w:b/>
          <w:bCs/>
          <w:i/>
          <w:iCs/>
        </w:rPr>
        <w:t>Random Forest (RF)</w:t>
      </w:r>
      <w:r>
        <w:rPr/>
        <w:t xml:space="preserve"> the training data are continually bootstrap re-sampled, in combination with random subsets of features, to create nodes which attempt to optimally predict a known outcome. A large number of trees are then aggregated, via the most common predictions, to generate a final classification prediction tree. Each individual prediction tree is generated independently of the others.</w:t>
      </w:r>
    </w:p>
    <w:p>
      <w:pPr>
        <w:pStyle w:val="TextBody"/>
        <w:rPr/>
      </w:pPr>
      <w:r>
        <w:rPr>
          <w:b/>
          <w:bCs/>
          <w:i/>
          <w:iCs/>
        </w:rPr>
        <w:t>Boosted Regression Tree (BRT)</w:t>
      </w:r>
      <w:r>
        <w:rPr/>
        <w:t xml:space="preserve"> (or Gradient Boosted tree) An initial tree is grown, and all other trees are derived sequentially from it, as each new tree is grown the errors in responses from the last tree are weighed more heavily so that the model focuses on selecting dependent variables which refine predictions. All response data and predictor variables are kept available to all trees.</w:t>
      </w:r>
    </w:p>
    <w:p>
      <w:pPr>
        <w:pStyle w:val="TextBody"/>
        <w:rPr/>
      </w:pPr>
      <w:r>
        <w:rPr>
          <w:b/>
          <w:bCs/>
          <w:i/>
          <w:iCs/>
        </w:rPr>
        <w:t>Bias</w:t>
      </w:r>
      <w:r>
        <w:rPr/>
        <w:t xml:space="preserve"> predictions from an algorithm are systematically in error due to being prejudiced for or against certain results, due to assumptions during learning.</w:t>
      </w:r>
    </w:p>
    <w:p>
      <w:pPr>
        <w:pStyle w:val="TextBody"/>
        <w:rPr/>
      </w:pPr>
      <w:r>
        <w:rPr>
          <w:b/>
          <w:bCs/>
          <w:i/>
          <w:iCs/>
        </w:rPr>
        <w:t>Variance</w:t>
      </w:r>
      <w:r>
        <w:rPr/>
        <w:t xml:space="preserve"> errors in models due to an over-reliance and sensitivity of training to outliers in training data.</w:t>
      </w:r>
    </w:p>
    <w:p>
      <w:pPr>
        <w:pStyle w:val="TextBody"/>
        <w:rPr/>
      </w:pPr>
      <w:r>
        <w:rPr/>
        <w:t>In general, Random Forest models have high bias and low variance, where boosted regressions trees have lower bias and higher variance. Theoretically, the weaknesses and strengths of bootstrap aggregation (bagging) as implemented by Random Forests are supplemented by the boosting.</w:t>
      </w:r>
    </w:p>
    <w:p>
      <w:pPr>
        <w:pStyle w:val="Normal"/>
        <w:rPr/>
      </w:pPr>
      <w:r>
        <w:rPr/>
      </w:r>
      <w:r>
        <w:br w:type="page"/>
      </w:r>
    </w:p>
    <w:p>
      <w:pPr>
        <w:pStyle w:val="TextBody"/>
        <w:rPr/>
      </w:pPr>
      <w:r>
        <w:rPr/>
        <w:t>APPENDIX XX - Time Spent Generating Species Distribution Models</w:t>
      </w:r>
    </w:p>
    <w:p>
      <w:pPr>
        <w:pStyle w:val="TextBody"/>
        <w:rPr/>
      </w:pPr>
      <w:r>
        <w:rPr/>
        <w:drawing>
          <wp:inline distT="0" distB="0" distL="0" distR="0">
            <wp:extent cx="3810000" cy="2540000"/>
            <wp:effectExtent l="0" t="0" r="0" b="0"/>
            <wp:docPr id="23"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3" descr=""/>
                    <pic:cNvPicPr>
                      <a:picLocks noChangeAspect="1" noChangeArrowheads="1"/>
                    </pic:cNvPicPr>
                  </pic:nvPicPr>
                  <pic:blipFill>
                    <a:blip r:embed="rId28"/>
                    <a:stretch>
                      <a:fillRect/>
                    </a:stretch>
                  </pic:blipFill>
                  <pic:spPr bwMode="auto">
                    <a:xfrm>
                      <a:off x="0" y="0"/>
                      <a:ext cx="3810000" cy="2540000"/>
                    </a:xfrm>
                    <a:prstGeom prst="rect">
                      <a:avLst/>
                    </a:prstGeom>
                  </pic:spPr>
                </pic:pic>
              </a:graphicData>
            </a:graphic>
          </wp:inline>
        </w:drawing>
      </w:r>
    </w:p>
    <w:p>
      <w:pPr>
        <w:pStyle w:val="Normal"/>
        <w:rPr/>
      </w:pPr>
      <w:r>
        <w:rPr/>
      </w:r>
      <w:r>
        <w:br w:type="page"/>
      </w:r>
    </w:p>
    <w:p>
      <w:pPr>
        <w:pStyle w:val="TextBody"/>
        <w:rPr/>
      </w:pPr>
      <w:r>
        <w:rPr/>
        <w:t>APPENDIX XX - Review Classified Reads and Reassign</w:t>
      </w:r>
    </w:p>
    <w:p>
      <w:pPr>
        <w:pStyle w:val="TextBody"/>
        <w:rPr/>
      </w:pPr>
      <w:r>
        <w:rPr/>
        <w:drawing>
          <wp:inline distT="0" distB="0" distL="0" distR="0">
            <wp:extent cx="3810000" cy="2540000"/>
            <wp:effectExtent l="0" t="0" r="0" b="0"/>
            <wp:docPr id="24"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4" descr=""/>
                    <pic:cNvPicPr>
                      <a:picLocks noChangeAspect="1" noChangeArrowheads="1"/>
                    </pic:cNvPicPr>
                  </pic:nvPicPr>
                  <pic:blipFill>
                    <a:blip r:embed="rId29"/>
                    <a:stretch>
                      <a:fillRect/>
                    </a:stretch>
                  </pic:blipFill>
                  <pic:spPr bwMode="auto">
                    <a:xfrm>
                      <a:off x="0" y="0"/>
                      <a:ext cx="3810000" cy="2540000"/>
                    </a:xfrm>
                    <a:prstGeom prst="rect">
                      <a:avLst/>
                    </a:prstGeom>
                  </pic:spPr>
                </pic:pic>
              </a:graphicData>
            </a:graphic>
          </wp:inline>
        </w:drawing>
      </w:r>
    </w:p>
    <w:p>
      <w:pPr>
        <w:pStyle w:val="Normal"/>
        <w:rPr/>
      </w:pPr>
      <w:r>
        <w:rPr/>
      </w:r>
      <w:r>
        <w:br w:type="page"/>
      </w:r>
    </w:p>
    <w:p>
      <w:pPr>
        <w:pStyle w:val="TextBody"/>
        <w:rPr/>
      </w:pPr>
      <w:r>
        <w:rPr/>
        <w:t>APPENDIX XX - Tips and tricks for implementing plant metagenomic sequencing</w:t>
      </w:r>
    </w:p>
    <w:p>
      <w:pPr>
        <w:pStyle w:val="TextBody"/>
        <w:rPr/>
      </w:pPr>
      <w:r>
        <w:rPr/>
        <w:drawing>
          <wp:inline distT="0" distB="0" distL="0" distR="0">
            <wp:extent cx="5334000" cy="6903085"/>
            <wp:effectExtent l="0" t="0" r="0" b="0"/>
            <wp:docPr id="25"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25" descr=""/>
                    <pic:cNvPicPr>
                      <a:picLocks noChangeAspect="1" noChangeArrowheads="1"/>
                    </pic:cNvPicPr>
                  </pic:nvPicPr>
                  <pic:blipFill>
                    <a:blip r:embed="rId30"/>
                    <a:stretch>
                      <a:fillRect/>
                    </a:stretch>
                  </pic:blipFill>
                  <pic:spPr bwMode="auto">
                    <a:xfrm>
                      <a:off x="0" y="0"/>
                      <a:ext cx="5334000" cy="6903085"/>
                    </a:xfrm>
                    <a:prstGeom prst="rect">
                      <a:avLst/>
                    </a:prstGeom>
                  </pic:spPr>
                </pic:pic>
              </a:graphicData>
            </a:graphic>
          </wp:inline>
        </w:drawing>
      </w:r>
    </w:p>
    <w:p>
      <w:pPr>
        <w:pStyle w:val="Normal"/>
        <w:rPr/>
      </w:pPr>
      <w:r>
        <w:rPr/>
      </w:r>
      <w:r>
        <w:br w:type="page"/>
      </w:r>
    </w:p>
    <w:p>
      <w:pPr>
        <w:pStyle w:val="TextBody"/>
        <w:rPr/>
      </w:pPr>
      <w:r>
        <w:rPr/>
        <w:drawing>
          <wp:inline distT="0" distB="0" distL="0" distR="0">
            <wp:extent cx="5334000" cy="6903085"/>
            <wp:effectExtent l="0" t="0" r="0" b="0"/>
            <wp:docPr id="26"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6" descr=""/>
                    <pic:cNvPicPr>
                      <a:picLocks noChangeAspect="1" noChangeArrowheads="1"/>
                    </pic:cNvPicPr>
                  </pic:nvPicPr>
                  <pic:blipFill>
                    <a:blip r:embed="rId31"/>
                    <a:stretch>
                      <a:fillRect/>
                    </a:stretch>
                  </pic:blipFill>
                  <pic:spPr bwMode="auto">
                    <a:xfrm>
                      <a:off x="0" y="0"/>
                      <a:ext cx="5334000" cy="6903085"/>
                    </a:xfrm>
                    <a:prstGeom prst="rect">
                      <a:avLst/>
                    </a:prstGeom>
                  </pic:spPr>
                </pic:pic>
              </a:graphicData>
            </a:graphic>
          </wp:inline>
        </w:drawing>
      </w:r>
    </w:p>
    <w:p>
      <w:pPr>
        <w:pStyle w:val="Normal"/>
        <w:rPr/>
      </w:pPr>
      <w:r>
        <w:rPr/>
      </w:r>
      <w:r>
        <w:br w:type="page"/>
      </w:r>
    </w:p>
    <w:p>
      <w:pPr>
        <w:pStyle w:val="TextBody"/>
        <w:rPr/>
      </w:pPr>
      <w:r>
        <w:rPr/>
        <w:drawing>
          <wp:inline distT="0" distB="0" distL="0" distR="0">
            <wp:extent cx="5334000" cy="6903085"/>
            <wp:effectExtent l="0" t="0" r="0" b="0"/>
            <wp:docPr id="27"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7" descr=""/>
                    <pic:cNvPicPr>
                      <a:picLocks noChangeAspect="1" noChangeArrowheads="1"/>
                    </pic:cNvPicPr>
                  </pic:nvPicPr>
                  <pic:blipFill>
                    <a:blip r:embed="rId32"/>
                    <a:stretch>
                      <a:fillRect/>
                    </a:stretch>
                  </pic:blipFill>
                  <pic:spPr bwMode="auto">
                    <a:xfrm>
                      <a:off x="0" y="0"/>
                      <a:ext cx="5334000" cy="6903085"/>
                    </a:xfrm>
                    <a:prstGeom prst="rect">
                      <a:avLst/>
                    </a:prstGeom>
                  </pic:spPr>
                </pic:pic>
              </a:graphicData>
            </a:graphic>
          </wp:inline>
        </w:drawing>
      </w:r>
    </w:p>
    <w:p>
      <w:pPr>
        <w:pStyle w:val="Normal"/>
        <w:rPr/>
      </w:pPr>
      <w:r>
        <w:rPr/>
      </w:r>
      <w:r>
        <w:br w:type="page"/>
      </w:r>
    </w:p>
    <w:p>
      <w:pPr>
        <w:pStyle w:val="TextBody"/>
        <w:rPr/>
      </w:pPr>
      <w:r>
        <w:rPr/>
        <w:drawing>
          <wp:inline distT="0" distB="0" distL="0" distR="0">
            <wp:extent cx="5334000" cy="6903085"/>
            <wp:effectExtent l="0" t="0" r="0" b="0"/>
            <wp:docPr id="28"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8" descr=""/>
                    <pic:cNvPicPr>
                      <a:picLocks noChangeAspect="1" noChangeArrowheads="1"/>
                    </pic:cNvPicPr>
                  </pic:nvPicPr>
                  <pic:blipFill>
                    <a:blip r:embed="rId33"/>
                    <a:stretch>
                      <a:fillRect/>
                    </a:stretch>
                  </pic:blipFill>
                  <pic:spPr bwMode="auto">
                    <a:xfrm>
                      <a:off x="0" y="0"/>
                      <a:ext cx="5334000" cy="6903085"/>
                    </a:xfrm>
                    <a:prstGeom prst="rect">
                      <a:avLst/>
                    </a:prstGeom>
                  </pic:spPr>
                </pic:pic>
              </a:graphicData>
            </a:graphic>
          </wp:inline>
        </w:drawing>
      </w:r>
    </w:p>
    <w:p>
      <w:pPr>
        <w:pStyle w:val="Normal"/>
        <w:rPr/>
      </w:pPr>
      <w:r>
        <w:rPr/>
      </w:r>
      <w:r>
        <w:br w:type="page"/>
      </w:r>
    </w:p>
    <w:p>
      <w:pPr>
        <w:pStyle w:val="TextBody"/>
        <w:rPr/>
      </w:pPr>
      <w:r>
        <w:rPr/>
        <w:drawing>
          <wp:inline distT="0" distB="0" distL="0" distR="0">
            <wp:extent cx="5334000" cy="6903085"/>
            <wp:effectExtent l="0" t="0" r="0" b="0"/>
            <wp:docPr id="29"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29" descr=""/>
                    <pic:cNvPicPr>
                      <a:picLocks noChangeAspect="1" noChangeArrowheads="1"/>
                    </pic:cNvPicPr>
                  </pic:nvPicPr>
                  <pic:blipFill>
                    <a:blip r:embed="rId34"/>
                    <a:stretch>
                      <a:fillRect/>
                    </a:stretch>
                  </pic:blipFill>
                  <pic:spPr bwMode="auto">
                    <a:xfrm>
                      <a:off x="0" y="0"/>
                      <a:ext cx="5334000" cy="6903085"/>
                    </a:xfrm>
                    <a:prstGeom prst="rect">
                      <a:avLst/>
                    </a:prstGeom>
                  </pic:spPr>
                </pic:pic>
              </a:graphicData>
            </a:graphic>
          </wp:inline>
        </w:drawing>
      </w:r>
    </w:p>
    <w:p>
      <w:pPr>
        <w:pStyle w:val="Normal"/>
        <w:rPr/>
      </w:pPr>
      <w:r>
        <w:rPr/>
      </w:r>
      <w:r>
        <w:br w:type="page"/>
      </w:r>
    </w:p>
    <w:p>
      <w:pPr>
        <w:pStyle w:val="TextBody"/>
        <w:rPr/>
      </w:pPr>
      <w:r>
        <w:rPr/>
        <w:t>THIS SHOULD BE TURNED INTO A SMALLER PNG, AND HAVE THE NUMBER OF SEQUENCED METAGENOMIC SAMPLES PLACED INTO THAT COLUMN AND INCLUDED IN TEXT ~~~ NEED THIS !!!!</w:t>
      </w:r>
    </w:p>
    <w:p>
      <w:pPr>
        <w:pStyle w:val="TextBody"/>
        <w:rPr/>
      </w:pPr>
      <w:r>
        <w:rPr/>
        <w:drawing>
          <wp:inline distT="0" distB="0" distL="0" distR="0">
            <wp:extent cx="5334000" cy="6903085"/>
            <wp:effectExtent l="0" t="0" r="0" b="0"/>
            <wp:docPr id="30"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30" descr=""/>
                    <pic:cNvPicPr>
                      <a:picLocks noChangeAspect="1" noChangeArrowheads="1"/>
                    </pic:cNvPicPr>
                  </pic:nvPicPr>
                  <pic:blipFill>
                    <a:blip r:embed="rId35"/>
                    <a:stretch>
                      <a:fillRect/>
                    </a:stretch>
                  </pic:blipFill>
                  <pic:spPr bwMode="auto">
                    <a:xfrm>
                      <a:off x="0" y="0"/>
                      <a:ext cx="5334000" cy="6903085"/>
                    </a:xfrm>
                    <a:prstGeom prst="rect">
                      <a:avLst/>
                    </a:prstGeom>
                  </pic:spPr>
                </pic:pic>
              </a:graphicData>
            </a:graphic>
          </wp:inline>
        </w:drawing>
      </w:r>
    </w:p>
    <w:p>
      <w:pPr>
        <w:pStyle w:val="Normal"/>
        <w:rPr/>
      </w:pPr>
      <w:r>
        <w:rPr/>
      </w:r>
      <w:r>
        <w:br w:type="page"/>
      </w:r>
    </w:p>
    <w:p>
      <w:pPr>
        <w:pStyle w:val="TextBody"/>
        <w:rPr/>
      </w:pPr>
      <w:r>
        <w:rPr/>
        <w:drawing>
          <wp:inline distT="0" distB="0" distL="0" distR="0">
            <wp:extent cx="5334000" cy="16002000"/>
            <wp:effectExtent l="0" t="0" r="0" b="0"/>
            <wp:docPr id="31"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31" descr=""/>
                    <pic:cNvPicPr>
                      <a:picLocks noChangeAspect="1" noChangeArrowheads="1"/>
                    </pic:cNvPicPr>
                  </pic:nvPicPr>
                  <pic:blipFill>
                    <a:blip r:embed="rId36"/>
                    <a:stretch>
                      <a:fillRect/>
                    </a:stretch>
                  </pic:blipFill>
                  <pic:spPr bwMode="auto">
                    <a:xfrm>
                      <a:off x="0" y="0"/>
                      <a:ext cx="5334000" cy="16002000"/>
                    </a:xfrm>
                    <a:prstGeom prst="rect">
                      <a:avLst/>
                    </a:prstGeom>
                  </pic:spPr>
                </pic:pic>
              </a:graphicData>
            </a:graphic>
          </wp:inline>
        </w:drawing>
      </w:r>
    </w:p>
    <w:p>
      <w:pPr>
        <w:pStyle w:val="Normal"/>
        <w:rPr/>
      </w:pPr>
      <w:r>
        <w:rPr/>
      </w:r>
      <w:bookmarkStart w:id="36" w:name="supporting"/>
      <w:bookmarkStart w:id="37" w:name="pollen-cluster-results-should-be-here"/>
      <w:bookmarkStart w:id="38" w:name="supporting"/>
      <w:bookmarkStart w:id="39" w:name="pollen-cluster-results-should-be-here"/>
      <w:bookmarkEnd w:id="38"/>
      <w:bookmarkEnd w:id="39"/>
      <w:r>
        <w:br w:type="page"/>
      </w:r>
    </w:p>
    <w:p>
      <w:pPr>
        <w:pStyle w:val="Heading1"/>
        <w:rPr/>
      </w:pPr>
      <w:bookmarkStart w:id="40" w:name="references-1"/>
      <w:r>
        <w:rPr/>
        <w:t>References</w:t>
      </w:r>
    </w:p>
    <w:p>
      <w:pPr>
        <w:pStyle w:val="Bibliography"/>
        <w:rPr/>
      </w:pPr>
      <w:bookmarkStart w:id="41" w:name="refs"/>
      <w:bookmarkStart w:id="42" w:name="ref-ackerfield2015flora"/>
      <w:r>
        <w:rPr/>
        <w:t xml:space="preserve">Ackerfield, J. (2015). </w:t>
      </w:r>
      <w:r>
        <w:rPr>
          <w:i/>
          <w:iCs/>
        </w:rPr>
        <w:t>Flora of colorado</w:t>
      </w:r>
      <w:r>
        <w:rPr/>
        <w:t>. BRIT Press Fort Worth.</w:t>
      </w:r>
      <w:bookmarkEnd w:id="42"/>
    </w:p>
    <w:p>
      <w:pPr>
        <w:pStyle w:val="Bibliography"/>
        <w:rPr/>
      </w:pPr>
      <w:bookmarkStart w:id="43" w:name="ref-alarcon2010congruence"/>
      <w:r>
        <w:rPr/>
        <w:t xml:space="preserve">Alarcón, R. (2010). Congruence between visitation and pollen-transport networks in a california plant–pollinator community. </w:t>
      </w:r>
      <w:r>
        <w:rPr>
          <w:i/>
          <w:iCs/>
        </w:rPr>
        <w:t>Oikos</w:t>
      </w:r>
      <w:r>
        <w:rPr/>
        <w:t xml:space="preserve">, </w:t>
      </w:r>
      <w:r>
        <w:rPr>
          <w:b/>
          <w:bCs/>
        </w:rPr>
        <w:t>119</w:t>
      </w:r>
      <w:r>
        <w:rPr/>
        <w:t xml:space="preserve">, 35–44. Retrieved from </w:t>
      </w:r>
      <w:hyperlink r:id="rId37">
        <w:r>
          <w:rPr>
            <w:rStyle w:val="InternetLink"/>
          </w:rPr>
          <w:t>https://onlinelibrary.wiley.com/doi/abs/10.1111/j.1600-0706.2009.17694.x</w:t>
        </w:r>
      </w:hyperlink>
      <w:bookmarkEnd w:id="43"/>
    </w:p>
    <w:p>
      <w:pPr>
        <w:pStyle w:val="Bibliography"/>
        <w:rPr/>
      </w:pPr>
      <w:bookmarkStart w:id="44" w:name="ref-aldous1919eradicating"/>
      <w:r>
        <w:rPr/>
        <w:t xml:space="preserve">Aldous, A.E. (1919). </w:t>
      </w:r>
      <w:r>
        <w:rPr>
          <w:i/>
          <w:iCs/>
        </w:rPr>
        <w:t>Eradicating tall larkspur on cattle ranges in the national forest</w:t>
      </w:r>
      <w:r>
        <w:rPr/>
        <w:t>. US Department of Agriculture.</w:t>
      </w:r>
      <w:bookmarkEnd w:id="44"/>
    </w:p>
    <w:p>
      <w:pPr>
        <w:pStyle w:val="Bibliography"/>
        <w:rPr/>
      </w:pPr>
      <w:bookmarkStart w:id="45" w:name="ref-allouche2006assessing"/>
      <w:r>
        <w:rPr/>
        <w:t xml:space="preserve">Allouche, O., Tsoar, A. &amp; Kadmon, R. (2006). Assessing the accuracy of species distribution models: Prevalence, kappa and the true skill statistic (TSS). </w:t>
      </w:r>
      <w:r>
        <w:rPr>
          <w:i/>
          <w:iCs/>
        </w:rPr>
        <w:t>Journal of applied ecology</w:t>
      </w:r>
      <w:r>
        <w:rPr/>
        <w:t xml:space="preserve">, </w:t>
      </w:r>
      <w:r>
        <w:rPr>
          <w:b/>
          <w:bCs/>
        </w:rPr>
        <w:t>43</w:t>
      </w:r>
      <w:r>
        <w:rPr/>
        <w:t>, 1223–1232.</w:t>
      </w:r>
      <w:bookmarkEnd w:id="45"/>
    </w:p>
    <w:p>
      <w:pPr>
        <w:pStyle w:val="Bibliography"/>
        <w:rPr/>
      </w:pPr>
      <w:bookmarkStart w:id="46" w:name="ref-allred2012flora"/>
      <w:r>
        <w:rPr/>
        <w:t xml:space="preserve">Allred, K.W. &amp; Ivey, R. (2012). Flora neomexicana III: An illustrated identification manual. </w:t>
      </w:r>
      <w:r>
        <w:rPr>
          <w:i/>
          <w:iCs/>
        </w:rPr>
        <w:t>Lulu. com</w:t>
      </w:r>
      <w:r>
        <w:rPr/>
        <w:t>.</w:t>
      </w:r>
      <w:bookmarkEnd w:id="46"/>
    </w:p>
    <w:p>
      <w:pPr>
        <w:pStyle w:val="Bibliography"/>
        <w:rPr/>
      </w:pPr>
      <w:bookmarkStart w:id="47" w:name="ref-araujo2007ensemble"/>
      <w:r>
        <w:rPr/>
        <w:t xml:space="preserve">Araujo, M.B. &amp; New, M. (2007). Ensemble forecasting of species distributions. </w:t>
      </w:r>
      <w:r>
        <w:rPr>
          <w:i/>
          <w:iCs/>
        </w:rPr>
        <w:t>Trends in ecology &amp; evolution</w:t>
      </w:r>
      <w:r>
        <w:rPr/>
        <w:t xml:space="preserve">, </w:t>
      </w:r>
      <w:r>
        <w:rPr>
          <w:b/>
          <w:bCs/>
        </w:rPr>
        <w:t>22</w:t>
      </w:r>
      <w:r>
        <w:rPr/>
        <w:t>, 42–47.</w:t>
      </w:r>
      <w:bookmarkEnd w:id="47"/>
    </w:p>
    <w:p>
      <w:pPr>
        <w:pStyle w:val="Bibliography"/>
        <w:rPr/>
      </w:pPr>
      <w:bookmarkStart w:id="48" w:name="ref-augspurger2020concordance"/>
      <w:r>
        <w:rPr/>
        <w:t xml:space="preserve">Augspurger, C.K. &amp; Zaya, D.N. (2020). Concordance of long-term shifts with climate warming varies among phenological events and herbaceous species. </w:t>
      </w:r>
      <w:r>
        <w:rPr>
          <w:i/>
          <w:iCs/>
        </w:rPr>
        <w:t>Ecological Monographs</w:t>
      </w:r>
      <w:r>
        <w:rPr/>
        <w:t xml:space="preserve">, </w:t>
      </w:r>
      <w:r>
        <w:rPr>
          <w:b/>
          <w:bCs/>
        </w:rPr>
        <w:t>90</w:t>
      </w:r>
      <w:r>
        <w:rPr/>
        <w:t>, e01421.</w:t>
      </w:r>
      <w:bookmarkEnd w:id="48"/>
    </w:p>
    <w:p>
      <w:pPr>
        <w:pStyle w:val="Bibliography"/>
        <w:rPr/>
      </w:pPr>
      <w:bookmarkStart w:id="49" w:name="ref-baker2021PAFTOL"/>
      <w:r>
        <w:rPr/>
        <w:t xml:space="preserve">Baker, W.J., Bailey, P., Barber, V., Barker, A., Bellot, S., Bishop, D., Botigué, L.R., Brewer, G., Carruthers, T., Clarkson, J.J., Cook, J., Cowan, R.S., Dodsworth, S., Epitawalage, N., Françoso, E., Gallego, B., Johnson, M.G., Kim, J.T., Leempoel, K., Maurin, O., Mcginnie, C., Pokorny, L., Roy, S., Stone, M., Toledo, E., Wickett, N.J., Zuntini, A.R., Eiserhardt, W.L., Kersey, P.J., Leitch, I.J. &amp; Forest, F. (2021a). A Comprehensive Phylogenomic Platform for Exploring the Angiosperm Tree of Life. </w:t>
      </w:r>
      <w:r>
        <w:rPr>
          <w:i/>
          <w:iCs/>
        </w:rPr>
        <w:t>Systematic Biology</w:t>
      </w:r>
      <w:r>
        <w:rPr/>
        <w:t xml:space="preserve">, </w:t>
      </w:r>
      <w:r>
        <w:rPr>
          <w:b/>
          <w:bCs/>
        </w:rPr>
        <w:t>71</w:t>
      </w:r>
      <w:r>
        <w:rPr/>
        <w:t xml:space="preserve">, 301–319. Retrieved from </w:t>
      </w:r>
      <w:hyperlink r:id="rId38">
        <w:r>
          <w:rPr>
            <w:rStyle w:val="InternetLink"/>
          </w:rPr>
          <w:t>https://doi.org/10.1093/sysbio/syab035</w:t>
        </w:r>
      </w:hyperlink>
      <w:bookmarkEnd w:id="49"/>
    </w:p>
    <w:p>
      <w:pPr>
        <w:pStyle w:val="Bibliography"/>
        <w:rPr/>
      </w:pPr>
      <w:bookmarkStart w:id="50" w:name="ref-baker2021exploring"/>
      <w:r>
        <w:rPr/>
        <w:t xml:space="preserve">Baker, W., Dodsworth, S., Forest, F., Graham, S., Johnson, M., McDonnell, A., Pokorny, L., Tate, J., Wicke, S. &amp; Wickett, N. (2021b). </w:t>
      </w:r>
      <w:hyperlink r:id="rId39">
        <w:r>
          <w:rPr>
            <w:rStyle w:val="InternetLink"/>
          </w:rPr>
          <w:t>Exploring Angiosperms353: An open, community toolkit for collaborative phylogenomic research on flowering plants</w:t>
        </w:r>
      </w:hyperlink>
      <w:r>
        <w:rPr/>
        <w:t xml:space="preserve">. </w:t>
      </w:r>
      <w:r>
        <w:rPr>
          <w:i/>
          <w:iCs/>
        </w:rPr>
        <w:t>American Journal of Botany</w:t>
      </w:r>
      <w:r>
        <w:rPr/>
        <w:t xml:space="preserve">, </w:t>
      </w:r>
      <w:r>
        <w:rPr>
          <w:b/>
          <w:bCs/>
        </w:rPr>
        <w:t>108</w:t>
      </w:r>
      <w:r>
        <w:rPr/>
        <w:t>.</w:t>
      </w:r>
      <w:bookmarkEnd w:id="50"/>
    </w:p>
    <w:p>
      <w:pPr>
        <w:pStyle w:val="Bibliography"/>
        <w:rPr/>
      </w:pPr>
      <w:bookmarkStart w:id="51" w:name="ref-barbet2012selecting"/>
      <w:r>
        <w:rPr/>
        <w:t xml:space="preserve">Barbet-Massin, M., Jiguet, F., Albert, C.H. &amp; Thuiller, W. (2012). Selecting pseudo-absences for species distribution models: How, where and how many? </w:t>
      </w:r>
      <w:r>
        <w:rPr>
          <w:i/>
          <w:iCs/>
        </w:rPr>
        <w:t>Methods in ecology and evolution</w:t>
      </w:r>
      <w:r>
        <w:rPr/>
        <w:t xml:space="preserve">, </w:t>
      </w:r>
      <w:r>
        <w:rPr>
          <w:b/>
          <w:bCs/>
        </w:rPr>
        <w:t>3</w:t>
      </w:r>
      <w:r>
        <w:rPr/>
        <w:t>, 327–338.</w:t>
      </w:r>
      <w:bookmarkEnd w:id="51"/>
    </w:p>
    <w:p>
      <w:pPr>
        <w:pStyle w:val="Bibliography"/>
        <w:rPr/>
      </w:pPr>
      <w:bookmarkStart w:id="52" w:name="ref-barker2021pollen"/>
      <w:r>
        <w:rPr/>
        <w:t xml:space="preserve">Barker, D.A. &amp; Arceo-Gomez, G. (2021). Pollen transport networks reveal highly diverse and temporally stable plant–pollinator interactions in an Appalachian floral community. </w:t>
      </w:r>
      <w:r>
        <w:rPr>
          <w:i/>
          <w:iCs/>
        </w:rPr>
        <w:t>AoB PLANTS</w:t>
      </w:r>
      <w:r>
        <w:rPr/>
        <w:t xml:space="preserve">, </w:t>
      </w:r>
      <w:r>
        <w:rPr>
          <w:b/>
          <w:bCs/>
        </w:rPr>
        <w:t>13</w:t>
      </w:r>
      <w:r>
        <w:rPr/>
        <w:t xml:space="preserve">. Retrieved from </w:t>
      </w:r>
      <w:hyperlink r:id="rId40">
        <w:r>
          <w:rPr>
            <w:rStyle w:val="InternetLink"/>
          </w:rPr>
          <w:t>https://doi.org/10.1093/aobpla/plab062</w:t>
        </w:r>
      </w:hyperlink>
      <w:bookmarkEnd w:id="52"/>
    </w:p>
    <w:p>
      <w:pPr>
        <w:pStyle w:val="Bibliography"/>
        <w:rPr/>
      </w:pPr>
      <w:bookmarkStart w:id="53" w:name="ref-basey2015producing"/>
      <w:r>
        <w:rPr/>
        <w:t xml:space="preserve">Basey, A.C., Fant, J.B. &amp; Kramer, A.T. (2015). Producing native plant materials for restoration: 10 rules to collect and maintain genetic diversity. </w:t>
      </w:r>
      <w:r>
        <w:rPr>
          <w:i/>
          <w:iCs/>
        </w:rPr>
        <w:t>Native Plants Journal</w:t>
      </w:r>
      <w:r>
        <w:rPr/>
        <w:t xml:space="preserve">, </w:t>
      </w:r>
      <w:r>
        <w:rPr>
          <w:b/>
          <w:bCs/>
        </w:rPr>
        <w:t>16</w:t>
      </w:r>
      <w:r>
        <w:rPr/>
        <w:t>, 37–53.</w:t>
      </w:r>
      <w:bookmarkEnd w:id="53"/>
    </w:p>
    <w:p>
      <w:pPr>
        <w:pStyle w:val="Bibliography"/>
        <w:rPr/>
      </w:pPr>
      <w:bookmarkStart w:id="54" w:name="ref-beattie1971technique"/>
      <w:r>
        <w:rPr/>
        <w:t xml:space="preserve">Beattie, A. (1971). A technique for the study of insect-borne pollen. </w:t>
      </w:r>
      <w:r>
        <w:rPr>
          <w:i/>
          <w:iCs/>
        </w:rPr>
        <w:t>The Pan-Pacific Entomologist</w:t>
      </w:r>
      <w:r>
        <w:rPr/>
        <w:t xml:space="preserve">, </w:t>
      </w:r>
      <w:r>
        <w:rPr>
          <w:b/>
          <w:bCs/>
        </w:rPr>
        <w:t>47</w:t>
      </w:r>
      <w:r>
        <w:rPr/>
        <w:t>, 82.</w:t>
      </w:r>
      <w:bookmarkEnd w:id="54"/>
    </w:p>
    <w:p>
      <w:pPr>
        <w:pStyle w:val="Bibliography"/>
        <w:rPr/>
      </w:pPr>
      <w:bookmarkStart w:id="55" w:name="ref-beck2021palmer"/>
      <w:r>
        <w:rPr/>
        <w:t xml:space="preserve">Beck, J.B., Markley, M.L., Zielke, M.G., Thomas, J.R., Hale, H.J., Williams, L.D. &amp; Johnson, M.G. (2021). Are palmer’s elm-leaf goldenrod and the smooth elm-leaf goldenrod real? The Angiosperms353 kit provides within-species signal in solidago ulmifolia sl. </w:t>
      </w:r>
      <w:r>
        <w:rPr>
          <w:i/>
          <w:iCs/>
        </w:rPr>
        <w:t>Systematic Botany</w:t>
      </w:r>
      <w:r>
        <w:rPr/>
        <w:t xml:space="preserve">, </w:t>
      </w:r>
      <w:r>
        <w:rPr>
          <w:b/>
          <w:bCs/>
        </w:rPr>
        <w:t>46</w:t>
      </w:r>
      <w:r>
        <w:rPr/>
        <w:t>, 1107–1113.</w:t>
      </w:r>
      <w:bookmarkEnd w:id="55"/>
    </w:p>
    <w:p>
      <w:pPr>
        <w:pStyle w:val="Bibliography"/>
        <w:rPr/>
      </w:pPr>
      <w:bookmarkStart w:id="56" w:name="ref-belitz2020accuracy"/>
      <w:r>
        <w:rPr/>
        <w:t xml:space="preserve">Belitz, M.W., Larsen, E.A., Ries, L. &amp; Guralnick, R.P. (2020). The accuracy of phenology estimators for use with sparsely sampled presence-only observations. </w:t>
      </w:r>
      <w:r>
        <w:rPr>
          <w:i/>
          <w:iCs/>
        </w:rPr>
        <w:t>Methods in Ecology and Evolution</w:t>
      </w:r>
      <w:r>
        <w:rPr/>
        <w:t xml:space="preserve">, </w:t>
      </w:r>
      <w:r>
        <w:rPr>
          <w:b/>
          <w:bCs/>
        </w:rPr>
        <w:t>11</w:t>
      </w:r>
      <w:r>
        <w:rPr/>
        <w:t>, 1273–1285.</w:t>
      </w:r>
      <w:bookmarkEnd w:id="56"/>
    </w:p>
    <w:p>
      <w:pPr>
        <w:pStyle w:val="Bibliography"/>
        <w:rPr/>
      </w:pPr>
      <w:bookmarkStart w:id="57" w:name="ref-bell2019quantitative"/>
      <w:r>
        <w:rPr/>
        <w:t xml:space="preserve">Bell, K.L., Burgess, K.S., Botsch, J.C., Dobbs, E.K., Read, T.D. &amp; Brosi, B.J. (2019). Quantitative and qualitative assessment of pollen DNA metabarcoding using constructed species mixtures. </w:t>
      </w:r>
      <w:r>
        <w:rPr>
          <w:i/>
          <w:iCs/>
        </w:rPr>
        <w:t>Molecular Ecology</w:t>
      </w:r>
      <w:r>
        <w:rPr/>
        <w:t xml:space="preserve">, </w:t>
      </w:r>
      <w:r>
        <w:rPr>
          <w:b/>
          <w:bCs/>
        </w:rPr>
        <w:t>28</w:t>
      </w:r>
      <w:r>
        <w:rPr/>
        <w:t>, 431–455.</w:t>
      </w:r>
      <w:bookmarkEnd w:id="57"/>
    </w:p>
    <w:p>
      <w:pPr>
        <w:pStyle w:val="Bibliography"/>
        <w:rPr/>
      </w:pPr>
      <w:bookmarkStart w:id="58" w:name="ref-bell2017applying"/>
      <w:r>
        <w:rPr/>
        <w:t xml:space="preserve">Bell, K.L., Fowler, J., Burgess, K.S., Dobbs, E.K., Gruenewald, D., Lawley, B., Morozumi, C. &amp; Brosi, B.J. (2017). Applying pollen DNA metabarcoding to the study of plant–pollinator interactions. </w:t>
      </w:r>
      <w:r>
        <w:rPr>
          <w:i/>
          <w:iCs/>
        </w:rPr>
        <w:t>Applications in plant sciences</w:t>
      </w:r>
      <w:r>
        <w:rPr/>
        <w:t xml:space="preserve">, </w:t>
      </w:r>
      <w:r>
        <w:rPr>
          <w:b/>
          <w:bCs/>
        </w:rPr>
        <w:t>5</w:t>
      </w:r>
      <w:r>
        <w:rPr/>
        <w:t>, 1600124.</w:t>
      </w:r>
      <w:bookmarkEnd w:id="58"/>
    </w:p>
    <w:p>
      <w:pPr>
        <w:pStyle w:val="Bibliography"/>
        <w:rPr/>
      </w:pPr>
      <w:bookmarkStart w:id="59" w:name="ref-bell2021comparing"/>
      <w:r>
        <w:rPr/>
        <w:t xml:space="preserve">Bell, K.L., Petit III, R.A., Cutler, A., Dobbs, E.K., Macpherson, J.M., Read, T.D., Burgess, K.S. &amp; Brosi, B.J. (2021). Comparing whole-genome shotgun sequencing and DNA metabarcoding approaches for species identification and quantification of pollen species mixtures. </w:t>
      </w:r>
      <w:r>
        <w:rPr>
          <w:i/>
          <w:iCs/>
        </w:rPr>
        <w:t>Ecology and Evolution</w:t>
      </w:r>
      <w:r>
        <w:rPr/>
        <w:t xml:space="preserve">, </w:t>
      </w:r>
      <w:r>
        <w:rPr>
          <w:b/>
          <w:bCs/>
        </w:rPr>
        <w:t>11</w:t>
      </w:r>
      <w:r>
        <w:rPr/>
        <w:t>, 16082–16098.</w:t>
      </w:r>
      <w:bookmarkEnd w:id="59"/>
    </w:p>
    <w:p>
      <w:pPr>
        <w:pStyle w:val="Bibliography"/>
        <w:rPr/>
      </w:pPr>
      <w:bookmarkStart w:id="60" w:name="ref-bell2022plants"/>
      <w:r>
        <w:rPr/>
        <w:t xml:space="preserve">Bell, K.L., Turo, K.J., Lowe, A., Nota, K., Keller, A., Encinas-Viso, F., Parducci, L., Richardson, R.T., Leggett, R.M., Brosi, B.J. &amp; others. (2022). Plants, pollinators and their interactions under global ecological change: The role of pollen DNA metabarcoding. </w:t>
      </w:r>
      <w:r>
        <w:rPr>
          <w:i/>
          <w:iCs/>
        </w:rPr>
        <w:t>Molecular ecology</w:t>
      </w:r>
      <w:r>
        <w:rPr/>
        <w:t>.</w:t>
      </w:r>
      <w:bookmarkEnd w:id="60"/>
    </w:p>
    <w:p>
      <w:pPr>
        <w:pStyle w:val="Bibliography"/>
        <w:rPr/>
      </w:pPr>
      <w:bookmarkStart w:id="61" w:name="ref-belsky1999survey"/>
      <w:r>
        <w:rPr/>
        <w:t xml:space="preserve">Belsky, A.J., Matzke, A. &amp; Uselman, S. (1999). Survey of livestock influences on stream and riparian ecosystems in the western united states. </w:t>
      </w:r>
      <w:r>
        <w:rPr>
          <w:i/>
          <w:iCs/>
        </w:rPr>
        <w:t>Journal of Soil and water Conservation</w:t>
      </w:r>
      <w:r>
        <w:rPr/>
        <w:t xml:space="preserve">, </w:t>
      </w:r>
      <w:r>
        <w:rPr>
          <w:b/>
          <w:bCs/>
        </w:rPr>
        <w:t>54</w:t>
      </w:r>
      <w:r>
        <w:rPr/>
        <w:t>, 419–431.</w:t>
      </w:r>
      <w:bookmarkEnd w:id="61"/>
    </w:p>
    <w:p>
      <w:pPr>
        <w:pStyle w:val="Bibliography"/>
        <w:rPr/>
      </w:pPr>
      <w:bookmarkStart w:id="62" w:name="ref-bergman1996micrometeorological"/>
      <w:r>
        <w:rPr/>
        <w:t xml:space="preserve">Bergman, P., Molau, U. &amp; Holmgren, B. (1996). Micrometeorological impacts on insect activity and plant reproductive success in an alpine environment, swedish lapland. </w:t>
      </w:r>
      <w:r>
        <w:rPr>
          <w:i/>
          <w:iCs/>
        </w:rPr>
        <w:t>Arctic and alpine research</w:t>
      </w:r>
      <w:r>
        <w:rPr/>
        <w:t xml:space="preserve">, </w:t>
      </w:r>
      <w:r>
        <w:rPr>
          <w:b/>
          <w:bCs/>
        </w:rPr>
        <w:t>28</w:t>
      </w:r>
      <w:r>
        <w:rPr/>
        <w:t>, 196–202.</w:t>
      </w:r>
      <w:bookmarkEnd w:id="62"/>
    </w:p>
    <w:p>
      <w:pPr>
        <w:pStyle w:val="Bibliography"/>
        <w:rPr/>
      </w:pPr>
      <w:bookmarkStart w:id="63" w:name="ref-betancourt2005implementing"/>
      <w:r>
        <w:rPr/>
        <w:t>Betancourt, J.L., Schwartz, M.D., Breshears, D.D., Cayan, D.R., Dettinger, M.D., Inouye, D.W., Post, E. &amp; Reed, B.C. (2005). Implementing a US national phenology network.</w:t>
      </w:r>
      <w:bookmarkEnd w:id="63"/>
    </w:p>
    <w:p>
      <w:pPr>
        <w:pStyle w:val="Bibliography"/>
        <w:rPr/>
      </w:pPr>
      <w:bookmarkStart w:id="64" w:name="ref-bingham1998efficient"/>
      <w:r>
        <w:rPr/>
        <w:t xml:space="preserve">Bingham, R.A. &amp; Orthner, A.R. (1998). Efficient pollination of alpine plants. </w:t>
      </w:r>
      <w:r>
        <w:rPr>
          <w:i/>
          <w:iCs/>
        </w:rPr>
        <w:t>Nature</w:t>
      </w:r>
      <w:r>
        <w:rPr/>
        <w:t xml:space="preserve">, </w:t>
      </w:r>
      <w:r>
        <w:rPr>
          <w:b/>
          <w:bCs/>
        </w:rPr>
        <w:t>391</w:t>
      </w:r>
      <w:r>
        <w:rPr/>
        <w:t>, 238–239.</w:t>
      </w:r>
      <w:bookmarkEnd w:id="64"/>
    </w:p>
    <w:p>
      <w:pPr>
        <w:pStyle w:val="Bibliography"/>
        <w:rPr/>
      </w:pPr>
      <w:bookmarkStart w:id="65" w:name="ref-bolger2014trimmomatic"/>
      <w:r>
        <w:rPr/>
        <w:t xml:space="preserve">Bolger, A. &amp; Giorgi, F. (2014). Trimmomatic: A flexible read trimming tool for illumina NGS data. </w:t>
      </w:r>
      <w:r>
        <w:rPr>
          <w:i/>
          <w:iCs/>
        </w:rPr>
        <w:t>Bioinformatics</w:t>
      </w:r>
      <w:r>
        <w:rPr/>
        <w:t xml:space="preserve">, </w:t>
      </w:r>
      <w:r>
        <w:rPr>
          <w:b/>
          <w:bCs/>
        </w:rPr>
        <w:t>30</w:t>
      </w:r>
      <w:r>
        <w:rPr/>
        <w:t>, 2114–2120.</w:t>
      </w:r>
      <w:bookmarkEnd w:id="65"/>
    </w:p>
    <w:p>
      <w:pPr>
        <w:pStyle w:val="Bibliography"/>
        <w:rPr/>
      </w:pPr>
      <w:bookmarkStart w:id="66" w:name="ref-bontvsutvsnaja2021bumble"/>
      <w:r>
        <w:rPr/>
        <w:t xml:space="preserve">Bontsutsnaja, A., Karise, R., Mand, M. &amp; Smagghe, G. (2021). Bumble bee foraged pollen analyses in spring time in southern estonia shows abundant food sources. </w:t>
      </w:r>
      <w:r>
        <w:rPr>
          <w:i/>
          <w:iCs/>
        </w:rPr>
        <w:t>Insects</w:t>
      </w:r>
      <w:r>
        <w:rPr/>
        <w:t xml:space="preserve">, </w:t>
      </w:r>
      <w:r>
        <w:rPr>
          <w:b/>
          <w:bCs/>
        </w:rPr>
        <w:t>12</w:t>
      </w:r>
      <w:r>
        <w:rPr/>
        <w:t>, 922.</w:t>
      </w:r>
      <w:bookmarkEnd w:id="66"/>
    </w:p>
    <w:p>
      <w:pPr>
        <w:pStyle w:val="Bibliography"/>
        <w:rPr/>
      </w:pPr>
      <w:bookmarkStart w:id="67" w:name="ref-bortolus2008error"/>
      <w:r>
        <w:rPr/>
        <w:t xml:space="preserve">Bortolus, A. (2008). Error cascades in the biological sciences: The unwanted consequences of using bad taxonomy in ecology. </w:t>
      </w:r>
      <w:r>
        <w:rPr>
          <w:i/>
          <w:iCs/>
        </w:rPr>
        <w:t>AMBIO: A journal of the human environment</w:t>
      </w:r>
      <w:r>
        <w:rPr/>
        <w:t xml:space="preserve">, </w:t>
      </w:r>
      <w:r>
        <w:rPr>
          <w:b/>
          <w:bCs/>
        </w:rPr>
        <w:t>37</w:t>
      </w:r>
      <w:r>
        <w:rPr/>
        <w:t>, 114–118.</w:t>
      </w:r>
      <w:bookmarkEnd w:id="67"/>
    </w:p>
    <w:p>
      <w:pPr>
        <w:pStyle w:val="Bibliography"/>
        <w:rPr/>
      </w:pPr>
      <w:bookmarkStart w:id="68" w:name="ref-brewen202176"/>
      <w:r>
        <w:rPr/>
        <w:t xml:space="preserve">Brewen, C.J., Berrill, J.-P., Ritchie, M.W., Boston, K., Dagley, C.M., Jones, B., Coppoletta, M. &amp; Burnett, C.L. (2021). 76-year decline and recovery of aspen mediated by contrasting fire regimes: Long-unburned, infrequent and frequent mixed-severity wildfire. </w:t>
      </w:r>
      <w:r>
        <w:rPr>
          <w:i/>
          <w:iCs/>
        </w:rPr>
        <w:t>Plos one</w:t>
      </w:r>
      <w:r>
        <w:rPr/>
        <w:t xml:space="preserve">, </w:t>
      </w:r>
      <w:r>
        <w:rPr>
          <w:b/>
          <w:bCs/>
        </w:rPr>
        <w:t>16</w:t>
      </w:r>
      <w:r>
        <w:rPr/>
        <w:t>, e0232995.</w:t>
      </w:r>
      <w:bookmarkEnd w:id="68"/>
    </w:p>
    <w:p>
      <w:pPr>
        <w:pStyle w:val="Bibliography"/>
        <w:rPr/>
      </w:pPr>
      <w:bookmarkStart w:id="69" w:name="ref-brito2018climate"/>
      <w:r>
        <w:rPr/>
        <w:t xml:space="preserve">Brito-Morales, I., Molinos, J.G., Schoeman, D.S., Burrows, M.T., Poloczanska, E.S., Brown, C.J., Ferrier, S., Harwood, T.D., Klein, C.J., McDonald-Madden, E. &amp; others. (2018). Climate velocity can inform conservation in a warming world. </w:t>
      </w:r>
      <w:r>
        <w:rPr>
          <w:i/>
          <w:iCs/>
        </w:rPr>
        <w:t>Trends in ecology &amp; evolution</w:t>
      </w:r>
      <w:r>
        <w:rPr/>
        <w:t xml:space="preserve">, </w:t>
      </w:r>
      <w:r>
        <w:rPr>
          <w:b/>
          <w:bCs/>
        </w:rPr>
        <w:t>33</w:t>
      </w:r>
      <w:r>
        <w:rPr/>
        <w:t>, 441–457.</w:t>
      </w:r>
      <w:bookmarkEnd w:id="69"/>
    </w:p>
    <w:p>
      <w:pPr>
        <w:pStyle w:val="Bibliography"/>
        <w:rPr/>
      </w:pPr>
      <w:bookmarkStart w:id="70" w:name="ref-brosi2013single"/>
      <w:r>
        <w:rPr/>
        <w:t xml:space="preserve">Brosi, B.J. &amp; Briggs, H.M. (2013). Single pollinator species losses reduce floral fidelity and plant reproductive function. </w:t>
      </w:r>
      <w:r>
        <w:rPr>
          <w:i/>
          <w:iCs/>
        </w:rPr>
        <w:t>Proceedings of the National Academy of Sciences</w:t>
      </w:r>
      <w:r>
        <w:rPr/>
        <w:t xml:space="preserve">, </w:t>
      </w:r>
      <w:r>
        <w:rPr>
          <w:b/>
          <w:bCs/>
        </w:rPr>
        <w:t>110</w:t>
      </w:r>
      <w:r>
        <w:rPr/>
        <w:t>, 13044–13048.</w:t>
      </w:r>
      <w:bookmarkEnd w:id="70"/>
    </w:p>
    <w:p>
      <w:pPr>
        <w:pStyle w:val="Bibliography"/>
        <w:rPr/>
      </w:pPr>
      <w:bookmarkStart w:id="71" w:name="ref-calabrese2014stacking"/>
      <w:r>
        <w:rPr/>
        <w:t xml:space="preserve">Calabrese, J.M., Certain, G., Kraan, C. &amp; Dormann, C.F. (2014). Stacking species distribution models and adjusting bias by linking them to macroecological models. </w:t>
      </w:r>
      <w:r>
        <w:rPr>
          <w:i/>
          <w:iCs/>
        </w:rPr>
        <w:t>Global Ecology and Biogeography</w:t>
      </w:r>
      <w:r>
        <w:rPr/>
        <w:t xml:space="preserve">, </w:t>
      </w:r>
      <w:r>
        <w:rPr>
          <w:b/>
          <w:bCs/>
        </w:rPr>
        <w:t>23</w:t>
      </w:r>
      <w:r>
        <w:rPr/>
        <w:t>, 99–112.</w:t>
      </w:r>
      <w:bookmarkEnd w:id="71"/>
    </w:p>
    <w:p>
      <w:pPr>
        <w:pStyle w:val="Bibliography"/>
        <w:rPr/>
      </w:pPr>
      <w:bookmarkStart w:id="72" w:name="ref-camacho2009blast"/>
      <w:r>
        <w:rPr/>
        <w:t xml:space="preserve">Camacho, C., Coulouris, G., Avagyan, V., Ma, N., Papadopoulos, J., Bealer, K. &amp; Madden, T.L. (2009). BLAST+: Architecture and applications. </w:t>
      </w:r>
      <w:r>
        <w:rPr>
          <w:i/>
          <w:iCs/>
        </w:rPr>
        <w:t>BMC bioinformatics</w:t>
      </w:r>
      <w:r>
        <w:rPr/>
        <w:t xml:space="preserve">, </w:t>
      </w:r>
      <w:r>
        <w:rPr>
          <w:b/>
          <w:bCs/>
        </w:rPr>
        <w:t>10</w:t>
      </w:r>
      <w:r>
        <w:rPr/>
        <w:t>, 1–9.</w:t>
      </w:r>
      <w:bookmarkEnd w:id="72"/>
    </w:p>
    <w:p>
      <w:pPr>
        <w:pStyle w:val="Bibliography"/>
        <w:rPr/>
      </w:pPr>
      <w:bookmarkStart w:id="73" w:name="ref-cameron2020global"/>
      <w:r>
        <w:rPr/>
        <w:t xml:space="preserve">Cameron, S.A. &amp; Sadd, B.M. (2020). Global trends in bumble bee health. </w:t>
      </w:r>
      <w:r>
        <w:rPr>
          <w:i/>
          <w:iCs/>
        </w:rPr>
        <w:t>Annual review of entomology</w:t>
      </w:r>
      <w:r>
        <w:rPr/>
        <w:t xml:space="preserve">, </w:t>
      </w:r>
      <w:r>
        <w:rPr>
          <w:b/>
          <w:bCs/>
        </w:rPr>
        <w:t>65</w:t>
      </w:r>
      <w:r>
        <w:rPr/>
        <w:t>, 209–232.</w:t>
      </w:r>
      <w:bookmarkEnd w:id="73"/>
    </w:p>
    <w:p>
      <w:pPr>
        <w:pStyle w:val="Bibliography"/>
        <w:rPr/>
      </w:pPr>
      <w:bookmarkStart w:id="74" w:name="ref-caradonna2021seeing"/>
      <w:r>
        <w:rPr/>
        <w:t xml:space="preserve">CaraDonna, P.J., Burkle, L.A., Schwarz, B., Resasco, J., Knight, T.M., Benadi, G., Bluthgen, N., Dormann, C.F., Fang, Q., Frund, J. &amp; others. (2021). Seeing through the static: The temporal dimension of plant–animal mutualistic interactions. </w:t>
      </w:r>
      <w:r>
        <w:rPr>
          <w:i/>
          <w:iCs/>
        </w:rPr>
        <w:t>Ecology Letters</w:t>
      </w:r>
      <w:r>
        <w:rPr/>
        <w:t xml:space="preserve">, </w:t>
      </w:r>
      <w:r>
        <w:rPr>
          <w:b/>
          <w:bCs/>
        </w:rPr>
        <w:t>24</w:t>
      </w:r>
      <w:r>
        <w:rPr/>
        <w:t>, 149–161.</w:t>
      </w:r>
      <w:bookmarkEnd w:id="74"/>
    </w:p>
    <w:p>
      <w:pPr>
        <w:pStyle w:val="Bibliography"/>
        <w:rPr/>
      </w:pPr>
      <w:bookmarkStart w:id="75" w:name="ref-caradonna2014shifts"/>
      <w:r>
        <w:rPr/>
        <w:t xml:space="preserve">CaraDonna, P.J., Iler, A.M. &amp; Inouye, D.W. (2014). Shifts in flowering phenology reshape a subalpine plant community. </w:t>
      </w:r>
      <w:r>
        <w:rPr>
          <w:i/>
          <w:iCs/>
        </w:rPr>
        <w:t>Proceedings of the National Academy of Sciences</w:t>
      </w:r>
      <w:r>
        <w:rPr/>
        <w:t xml:space="preserve">, </w:t>
      </w:r>
      <w:r>
        <w:rPr>
          <w:b/>
          <w:bCs/>
        </w:rPr>
        <w:t>111</w:t>
      </w:r>
      <w:r>
        <w:rPr/>
        <w:t>, 4916–4921.</w:t>
      </w:r>
      <w:bookmarkEnd w:id="75"/>
    </w:p>
    <w:p>
      <w:pPr>
        <w:pStyle w:val="Bibliography"/>
        <w:rPr/>
      </w:pPr>
      <w:bookmarkStart w:id="76" w:name="ref-caradonna2017interaction"/>
      <w:r>
        <w:rPr/>
        <w:t xml:space="preserve">CaraDonna, P.J., Petry, W.K., Brennan, R.M., Cunningham, J.L., Bronstein, J.L., Waser, N.M. &amp; Sanders, N.J. (2017). Interaction rewiring and the rapid turnover of plant–pollinator networks. </w:t>
      </w:r>
      <w:r>
        <w:rPr>
          <w:i/>
          <w:iCs/>
        </w:rPr>
        <w:t>Ecology letters</w:t>
      </w:r>
      <w:r>
        <w:rPr/>
        <w:t xml:space="preserve">, </w:t>
      </w:r>
      <w:r>
        <w:rPr>
          <w:b/>
          <w:bCs/>
        </w:rPr>
        <w:t>20</w:t>
      </w:r>
      <w:r>
        <w:rPr/>
        <w:t>, 385–394.</w:t>
      </w:r>
      <w:bookmarkEnd w:id="76"/>
    </w:p>
    <w:p>
      <w:pPr>
        <w:pStyle w:val="Bibliography"/>
        <w:rPr/>
      </w:pPr>
      <w:bookmarkStart w:id="77" w:name="ref-inextArticle"/>
      <w:r>
        <w:rPr/>
        <w:t xml:space="preserve">Chao, A., Gotelli, N.J., Hsieh, T.C., Sande, E.L., Ma, K.H., Colwell, R.K. &amp; Ellison, A.M. (2014). Rarefaction and extrapolation with hill numbers: A framework for sampling and estimation in species diversity studies. </w:t>
      </w:r>
      <w:r>
        <w:rPr>
          <w:i/>
          <w:iCs/>
        </w:rPr>
        <w:t>Ecological Monographs</w:t>
      </w:r>
      <w:r>
        <w:rPr/>
        <w:t xml:space="preserve">, </w:t>
      </w:r>
      <w:r>
        <w:rPr>
          <w:b/>
          <w:bCs/>
        </w:rPr>
        <w:t>84</w:t>
      </w:r>
      <w:r>
        <w:rPr/>
        <w:t>, 45–67.</w:t>
      </w:r>
      <w:bookmarkEnd w:id="77"/>
    </w:p>
    <w:p>
      <w:pPr>
        <w:pStyle w:val="Bibliography"/>
        <w:rPr/>
      </w:pPr>
      <w:bookmarkStart w:id="78" w:name="ref-cheng2018tenkp"/>
      <w:r>
        <w:rPr/>
        <w:t xml:space="preserve">Cheng, S., Melkonian, M., Smith, S.A., Brockington, S., Archibald, J.M., Delaux, P.-M., Li, F.-W., Melkonian, B., Mavrodiev, E.V., Sun, W., Fu, Y., Yang, H., Soltis, D.E., Graham, S.W., Soltis, P.S., Liu, X., Xu, X. &amp; Wong, G.K.-S. (2018). 10KP: A phylodiverse genome sequencing plan. </w:t>
      </w:r>
      <w:r>
        <w:rPr>
          <w:i/>
          <w:iCs/>
        </w:rPr>
        <w:t>GigaScience</w:t>
      </w:r>
      <w:r>
        <w:rPr/>
        <w:t xml:space="preserve">, </w:t>
      </w:r>
      <w:r>
        <w:rPr>
          <w:b/>
          <w:bCs/>
        </w:rPr>
        <w:t>7</w:t>
      </w:r>
      <w:r>
        <w:rPr/>
        <w:t xml:space="preserve">. Retrieved from </w:t>
      </w:r>
      <w:hyperlink r:id="rId41">
        <w:r>
          <w:rPr>
            <w:rStyle w:val="InternetLink"/>
          </w:rPr>
          <w:t>https://doi.org/10.1093/gigascience/giy013</w:t>
        </w:r>
      </w:hyperlink>
      <w:bookmarkEnd w:id="78"/>
    </w:p>
    <w:p>
      <w:pPr>
        <w:pStyle w:val="Bibliography"/>
        <w:rPr/>
      </w:pPr>
      <w:bookmarkStart w:id="79" w:name="ref-coissac2016barcodes"/>
      <w:r>
        <w:rPr/>
        <w:t>Coissac, E., Hollingsworth, P.M., Lavergne, S. &amp; Taberlet, P. (2016). From barcodes to genomes: Extending the concept of DNA barcoding.</w:t>
      </w:r>
      <w:bookmarkEnd w:id="79"/>
    </w:p>
    <w:p>
      <w:pPr>
        <w:pStyle w:val="Bibliography"/>
        <w:rPr/>
      </w:pPr>
      <w:bookmarkStart w:id="80" w:name="ref-coissac2012bioinformatic"/>
      <w:r>
        <w:rPr/>
        <w:t xml:space="preserve">Coissac, E., Riaz, T. &amp; Puillandre, N. (2012). Bioinformatic challenges for DNA metabarcoding of plants and animals. </w:t>
      </w:r>
      <w:r>
        <w:rPr>
          <w:i/>
          <w:iCs/>
        </w:rPr>
        <w:t>Molecular ecology</w:t>
      </w:r>
      <w:r>
        <w:rPr/>
        <w:t xml:space="preserve">, </w:t>
      </w:r>
      <w:r>
        <w:rPr>
          <w:b/>
          <w:bCs/>
        </w:rPr>
        <w:t>21</w:t>
      </w:r>
      <w:r>
        <w:rPr/>
        <w:t>, 1834–1847.</w:t>
      </w:r>
      <w:bookmarkEnd w:id="80"/>
    </w:p>
    <w:p>
      <w:pPr>
        <w:pStyle w:val="Bibliography"/>
        <w:rPr/>
      </w:pPr>
      <w:bookmarkStart w:id="81" w:name="ref-colla2012assessing"/>
      <w:r>
        <w:rPr/>
        <w:t xml:space="preserve">Colla, S.R., Gadallah, F., Richardson, L., Wagner, D. &amp; Gall, L. (2012). Assessing declines of north american bumble bees (bombus spp.) Using museum specimens. </w:t>
      </w:r>
      <w:r>
        <w:rPr>
          <w:i/>
          <w:iCs/>
        </w:rPr>
        <w:t>Biodiversity and Conservation</w:t>
      </w:r>
      <w:r>
        <w:rPr/>
        <w:t xml:space="preserve">, </w:t>
      </w:r>
      <w:r>
        <w:rPr>
          <w:b/>
          <w:bCs/>
        </w:rPr>
        <w:t>21</w:t>
      </w:r>
      <w:r>
        <w:rPr/>
        <w:t>, 3585–3595.</w:t>
      </w:r>
      <w:bookmarkEnd w:id="81"/>
    </w:p>
    <w:p>
      <w:pPr>
        <w:pStyle w:val="Bibliography"/>
        <w:rPr/>
      </w:pPr>
      <w:bookmarkStart w:id="82" w:name="ref-cooke1976arroyos"/>
      <w:r>
        <w:rPr/>
        <w:t xml:space="preserve">Cooke, R.U. &amp; Reeves, R.W. (1976). </w:t>
      </w:r>
      <w:r>
        <w:rPr>
          <w:i/>
          <w:iCs/>
        </w:rPr>
        <w:t>Arroyos and environmental change in the american south-west</w:t>
      </w:r>
      <w:r>
        <w:rPr/>
        <w:t>. Clarendon Press.</w:t>
      </w:r>
      <w:bookmarkEnd w:id="82"/>
    </w:p>
    <w:p>
      <w:pPr>
        <w:pStyle w:val="Bibliography"/>
        <w:rPr/>
      </w:pPr>
      <w:bookmarkStart w:id="83" w:name="ref-crisci2020end"/>
      <w:r>
        <w:rPr/>
        <w:t xml:space="preserve">Crisci, J.V., Katinas, L., Apodaca, M.J. &amp; Hoch, P.C. (2020). The end of botany. </w:t>
      </w:r>
      <w:r>
        <w:rPr>
          <w:i/>
          <w:iCs/>
        </w:rPr>
        <w:t>Trends in Plant Science</w:t>
      </w:r>
      <w:r>
        <w:rPr/>
        <w:t xml:space="preserve">, </w:t>
      </w:r>
      <w:r>
        <w:rPr>
          <w:b/>
          <w:bCs/>
        </w:rPr>
        <w:t>25</w:t>
      </w:r>
      <w:r>
        <w:rPr/>
        <w:t>, 1173–1176.</w:t>
      </w:r>
      <w:bookmarkEnd w:id="83"/>
    </w:p>
    <w:p>
      <w:pPr>
        <w:pStyle w:val="Bibliography"/>
        <w:rPr/>
      </w:pPr>
      <w:bookmarkStart w:id="84" w:name="ref-cronquist1977intermountain"/>
      <w:r>
        <w:rPr/>
        <w:t xml:space="preserve">Cronquist, A., Holmgren, A.H., Holmgren, N.H., Reveal, J.L., Holmgren, P.K., Barneby, R &amp; others. (1977+). </w:t>
      </w:r>
      <w:r>
        <w:rPr>
          <w:i/>
          <w:iCs/>
        </w:rPr>
        <w:t>Intermountain flora. Vascular plants of the intermountain west, USA volume six. The monocotyledons.</w:t>
      </w:r>
      <w:r>
        <w:rPr/>
        <w:t xml:space="preserve"> Columbia University.</w:t>
      </w:r>
      <w:bookmarkEnd w:id="84"/>
    </w:p>
    <w:p>
      <w:pPr>
        <w:pStyle w:val="Bibliography"/>
        <w:rPr/>
      </w:pPr>
      <w:bookmarkStart w:id="85" w:name="ref-dahl1990wetlands"/>
      <w:r>
        <w:rPr/>
        <w:t xml:space="preserve">Dahl, T.E. (1990). </w:t>
      </w:r>
      <w:r>
        <w:rPr>
          <w:i/>
          <w:iCs/>
        </w:rPr>
        <w:t>Wetlands losses in the united states, 1780’s to 1980’s</w:t>
      </w:r>
      <w:r>
        <w:rPr/>
        <w:t>. US Department of the Interior, Fish; Wildlife Service.</w:t>
      </w:r>
      <w:bookmarkEnd w:id="85"/>
    </w:p>
    <w:p>
      <w:pPr>
        <w:pStyle w:val="Bibliography"/>
        <w:rPr/>
      </w:pPr>
      <w:bookmarkStart w:id="86" w:name="ref-davis2022new"/>
      <w:r>
        <w:rPr/>
        <w:t xml:space="preserve">Davis, C.C., Lyra, G.M., Park, D.S., Asprino, R., Maruyama, R., Torquato, D., Cook, B.I. &amp; Ellison, A.M. (2022). New directions in tropical phenology. </w:t>
      </w:r>
      <w:r>
        <w:rPr>
          <w:i/>
          <w:iCs/>
        </w:rPr>
        <w:t>Trends in Ecology &amp; Evolution</w:t>
      </w:r>
      <w:r>
        <w:rPr/>
        <w:t>.</w:t>
      </w:r>
      <w:bookmarkEnd w:id="86"/>
    </w:p>
    <w:p>
      <w:pPr>
        <w:pStyle w:val="Bibliography"/>
        <w:rPr/>
      </w:pPr>
      <w:bookmarkStart w:id="87" w:name="ref-dobrowski2016climate"/>
      <w:r>
        <w:rPr/>
        <w:t xml:space="preserve">Dobrowski, S.Z. &amp; Parks, S.A. (2016). Climate change velocity underestimates climate change exposure in mountainous regions. </w:t>
      </w:r>
      <w:r>
        <w:rPr>
          <w:i/>
          <w:iCs/>
        </w:rPr>
        <w:t>Nature Communications</w:t>
      </w:r>
      <w:r>
        <w:rPr/>
        <w:t xml:space="preserve">, </w:t>
      </w:r>
      <w:r>
        <w:rPr>
          <w:b/>
          <w:bCs/>
        </w:rPr>
        <w:t>7</w:t>
      </w:r>
      <w:r>
        <w:rPr/>
        <w:t>, 1–8.</w:t>
      </w:r>
      <w:bookmarkEnd w:id="87"/>
    </w:p>
    <w:p>
      <w:pPr>
        <w:pStyle w:val="Bibliography"/>
        <w:rPr/>
      </w:pPr>
      <w:bookmarkStart w:id="88" w:name="ref-doylesCTAB"/>
      <w:r>
        <w:rPr/>
        <w:t xml:space="preserve">Doyle, J.J. &amp; Doyle, J.L. (1987). A rapid DNA isolation procedure for small quantities of fresh leaf tissue. </w:t>
      </w:r>
      <w:r>
        <w:rPr>
          <w:i/>
          <w:iCs/>
        </w:rPr>
        <w:t>Phytochemical Bulletin</w:t>
      </w:r>
      <w:r>
        <w:rPr/>
        <w:t xml:space="preserve">, </w:t>
      </w:r>
      <w:r>
        <w:rPr>
          <w:b/>
          <w:bCs/>
        </w:rPr>
        <w:t>19</w:t>
      </w:r>
      <w:r>
        <w:rPr/>
        <w:t>, 11–15.</w:t>
      </w:r>
      <w:bookmarkEnd w:id="88"/>
    </w:p>
    <w:p>
      <w:pPr>
        <w:pStyle w:val="Bibliography"/>
        <w:rPr/>
      </w:pPr>
      <w:bookmarkStart w:id="89" w:name="ref-dubuis2011predicting"/>
      <w:r>
        <w:rPr/>
        <w:t xml:space="preserve">Dubuis, A., Pottier, J., Rion, V., Pellissier, L., Theurillat, J.-P. &amp; Guisan, A. (2011). Predicting spatial patterns of plant species richness: A comparison of direct macroecological and species stacking modelling approaches. </w:t>
      </w:r>
      <w:r>
        <w:rPr>
          <w:i/>
          <w:iCs/>
        </w:rPr>
        <w:t>Diversity and Distributions</w:t>
      </w:r>
      <w:r>
        <w:rPr/>
        <w:t xml:space="preserve">, </w:t>
      </w:r>
      <w:r>
        <w:rPr>
          <w:b/>
          <w:bCs/>
        </w:rPr>
        <w:t>17</w:t>
      </w:r>
      <w:r>
        <w:rPr/>
        <w:t>, 1122–1131.</w:t>
      </w:r>
      <w:bookmarkEnd w:id="89"/>
    </w:p>
    <w:p>
      <w:pPr>
        <w:pStyle w:val="Bibliography"/>
        <w:rPr/>
      </w:pPr>
      <w:bookmarkStart w:id="90" w:name="ref-elith2006novel"/>
      <w:r>
        <w:rPr/>
        <w:t xml:space="preserve">Elith*, J., H. Graham*, C., P. Anderson, R., Dudik, M., Ferrier, S., Guisan, A., J. Hijmans, R., Huettmann, F., R. Leathwick, J., Lehmann, A. &amp; others. (2006). Novel methods improve prediction of species’ distributions from occurrence data. </w:t>
      </w:r>
      <w:r>
        <w:rPr>
          <w:i/>
          <w:iCs/>
        </w:rPr>
        <w:t>Ecography</w:t>
      </w:r>
      <w:r>
        <w:rPr/>
        <w:t xml:space="preserve">, </w:t>
      </w:r>
      <w:r>
        <w:rPr>
          <w:b/>
          <w:bCs/>
        </w:rPr>
        <w:t>29</w:t>
      </w:r>
      <w:r>
        <w:rPr/>
        <w:t>, 129–151.</w:t>
      </w:r>
      <w:bookmarkEnd w:id="90"/>
    </w:p>
    <w:p>
      <w:pPr>
        <w:pStyle w:val="Bibliography"/>
        <w:rPr/>
      </w:pPr>
      <w:bookmarkStart w:id="91" w:name="ref-fazekas2009plant"/>
      <w:r>
        <w:rPr/>
        <w:t xml:space="preserve">Fazekas, A.J., Kesanakurti, P.R., Burgess, K.S., Percy, D.M., Graham, S.W., Barrett, S.C., Newmaster, S.G., Hajibabaei, M. &amp; Husband, B.C. (2009). Are plant species inherently harder to discriminate than animal species using DNA barcoding markers? </w:t>
      </w:r>
      <w:r>
        <w:rPr>
          <w:i/>
          <w:iCs/>
        </w:rPr>
        <w:t>Molecular Ecology Resources</w:t>
      </w:r>
      <w:r>
        <w:rPr/>
        <w:t xml:space="preserve">, </w:t>
      </w:r>
      <w:r>
        <w:rPr>
          <w:b/>
          <w:bCs/>
        </w:rPr>
        <w:t>9</w:t>
      </w:r>
      <w:r>
        <w:rPr/>
        <w:t>, 130–139.</w:t>
      </w:r>
      <w:bookmarkEnd w:id="91"/>
    </w:p>
    <w:p>
      <w:pPr>
        <w:pStyle w:val="Bibliography"/>
        <w:rPr/>
      </w:pPr>
      <w:bookmarkStart w:id="92" w:name="ref-fenn2003ecological"/>
      <w:r>
        <w:rPr/>
        <w:t xml:space="preserve">Fenn, M.E., Baron, J.S., Allen, E.B., Rueth, H.M., Nydick, K.R., Geiser, L., Bowman, W.D., Sickman, J.O., Meixner, T., Johnson, D.W. &amp; others. (2003). Ecological effects of nitrogen deposition in the western united states. </w:t>
      </w:r>
      <w:r>
        <w:rPr>
          <w:i/>
          <w:iCs/>
        </w:rPr>
        <w:t>BioScience</w:t>
      </w:r>
      <w:r>
        <w:rPr/>
        <w:t xml:space="preserve">, </w:t>
      </w:r>
      <w:r>
        <w:rPr>
          <w:b/>
          <w:bCs/>
        </w:rPr>
        <w:t>53</w:t>
      </w:r>
      <w:r>
        <w:rPr/>
        <w:t>, 404–420.</w:t>
      </w:r>
      <w:bookmarkEnd w:id="92"/>
    </w:p>
    <w:p>
      <w:pPr>
        <w:pStyle w:val="Bibliography"/>
        <w:rPr/>
      </w:pPr>
      <w:bookmarkStart w:id="93" w:name="ref-flora1993flora"/>
      <w:r>
        <w:rPr/>
        <w:t xml:space="preserve">Flora of North America Editorial Committee, eds. (1993+). </w:t>
      </w:r>
      <w:r>
        <w:rPr>
          <w:i/>
          <w:iCs/>
        </w:rPr>
        <w:t>Flora of north america north of mexico [online]</w:t>
      </w:r>
      <w:r>
        <w:rPr/>
        <w:t>. Oxford University Press on Demand.</w:t>
      </w:r>
      <w:bookmarkEnd w:id="93"/>
    </w:p>
    <w:p>
      <w:pPr>
        <w:pStyle w:val="Bibliography"/>
        <w:rPr/>
      </w:pPr>
      <w:bookmarkStart w:id="94" w:name="ref-fraser2007vpc"/>
      <w:r>
        <w:rPr/>
        <w:t xml:space="preserve">Frase, Barbara A. &amp; Buck, P. (2007). Vascular Plants of the Gothic Area. Retrieved from </w:t>
      </w:r>
      <w:hyperlink r:id="rId42">
        <w:r>
          <w:rPr>
            <w:rStyle w:val="InternetLink"/>
          </w:rPr>
          <w:t>https://www.digitalrmbl.org/wp-content/uploads/2016/05/vascularplantlist_20071.pdf</w:t>
        </w:r>
      </w:hyperlink>
      <w:bookmarkEnd w:id="94"/>
    </w:p>
    <w:p>
      <w:pPr>
        <w:pStyle w:val="Bibliography"/>
        <w:rPr/>
      </w:pPr>
      <w:bookmarkStart w:id="95" w:name="ref-Gage2013HistoricalRO"/>
      <w:r>
        <w:rPr/>
        <w:t>Gage, E. &amp; Cooper, D.J. (2013). Historical range of variation assessment for wetland and riparian ecosystems, u.s. Forest service rocky mountain region</w:t>
      </w:r>
      <w:bookmarkEnd w:id="95"/>
    </w:p>
    <w:p>
      <w:pPr>
        <w:pStyle w:val="Bibliography"/>
        <w:rPr/>
      </w:pPr>
      <w:bookmarkStart w:id="96" w:name="ref-goulson2010bumblebees"/>
      <w:r>
        <w:rPr/>
        <w:t xml:space="preserve">Goulson, D. (2010). </w:t>
      </w:r>
      <w:r>
        <w:rPr>
          <w:i/>
          <w:iCs/>
        </w:rPr>
        <w:t>Bumblebees: Behaviour, ecology, and conservation</w:t>
      </w:r>
      <w:r>
        <w:rPr/>
        <w:t>. Oxford University Press on Demand.</w:t>
      </w:r>
      <w:bookmarkEnd w:id="96"/>
    </w:p>
    <w:p>
      <w:pPr>
        <w:pStyle w:val="Bibliography"/>
        <w:rPr/>
      </w:pPr>
      <w:bookmarkStart w:id="97" w:name="ref-goulson2005causes"/>
      <w:r>
        <w:rPr/>
        <w:t xml:space="preserve">Goulson, D., Hanley, M.E., Darvill, B., Ellis, J. &amp; Knight, M.E. (2005). Causes of rarity in bumblebees. </w:t>
      </w:r>
      <w:r>
        <w:rPr>
          <w:i/>
          <w:iCs/>
        </w:rPr>
        <w:t>Biological conservation</w:t>
      </w:r>
      <w:r>
        <w:rPr/>
        <w:t xml:space="preserve">, </w:t>
      </w:r>
      <w:r>
        <w:rPr>
          <w:b/>
          <w:bCs/>
        </w:rPr>
        <w:t>122</w:t>
      </w:r>
      <w:r>
        <w:rPr/>
        <w:t>, 1–8.</w:t>
      </w:r>
      <w:bookmarkEnd w:id="97"/>
    </w:p>
    <w:p>
      <w:pPr>
        <w:pStyle w:val="Bibliography"/>
        <w:rPr/>
      </w:pPr>
      <w:bookmarkStart w:id="98" w:name="ref-goulson2008decline"/>
      <w:r>
        <w:rPr/>
        <w:t xml:space="preserve">Goulson, D., Lye, G. &amp; Darvill, B. (2008). The decline and conservation of bumblebees. </w:t>
      </w:r>
      <w:r>
        <w:rPr>
          <w:i/>
          <w:iCs/>
        </w:rPr>
        <w:t>Annual review of entomology</w:t>
      </w:r>
      <w:r>
        <w:rPr/>
        <w:t xml:space="preserve">, </w:t>
      </w:r>
      <w:r>
        <w:rPr>
          <w:b/>
          <w:bCs/>
        </w:rPr>
        <w:t>53</w:t>
      </w:r>
      <w:r>
        <w:rPr/>
        <w:t>, 191–208.</w:t>
      </w:r>
      <w:bookmarkEnd w:id="98"/>
    </w:p>
    <w:p>
      <w:pPr>
        <w:pStyle w:val="Bibliography"/>
        <w:rPr/>
      </w:pPr>
      <w:bookmarkStart w:id="99" w:name="ref-grixti2009decline"/>
      <w:r>
        <w:rPr/>
        <w:t xml:space="preserve">Grixti, J.C., Wong, L.T., Cameron, S.A. &amp; Favret, C. (2009). Decline of bumble bees (bombus) in the north american midwest. </w:t>
      </w:r>
      <w:r>
        <w:rPr>
          <w:i/>
          <w:iCs/>
        </w:rPr>
        <w:t>Biological conservation</w:t>
      </w:r>
      <w:r>
        <w:rPr/>
        <w:t xml:space="preserve">, </w:t>
      </w:r>
      <w:r>
        <w:rPr>
          <w:b/>
          <w:bCs/>
        </w:rPr>
        <w:t>142</w:t>
      </w:r>
      <w:r>
        <w:rPr/>
        <w:t>, 75–84.</w:t>
      </w:r>
      <w:bookmarkEnd w:id="99"/>
    </w:p>
    <w:p>
      <w:pPr>
        <w:pStyle w:val="Bibliography"/>
        <w:rPr/>
      </w:pPr>
      <w:bookmarkStart w:id="100" w:name="ref-cbol2009dna"/>
      <w:r>
        <w:rPr/>
        <w:t xml:space="preserve">Group, C.P.W., Hollingsworth, P.M., Forrest, L.L., Spouge, J.L., Hajibabaei, M., Ratnasingham, S., Bank, M. van der, Chase, M.W., Cowan, R.S., Erickson, D.L. &amp; others. (2009). A DNA barcode for land plants. </w:t>
      </w:r>
      <w:r>
        <w:rPr>
          <w:i/>
          <w:iCs/>
        </w:rPr>
        <w:t>Proceedings of the National Academy of Sciences</w:t>
      </w:r>
      <w:r>
        <w:rPr/>
        <w:t xml:space="preserve">, </w:t>
      </w:r>
      <w:r>
        <w:rPr>
          <w:b/>
          <w:bCs/>
        </w:rPr>
        <w:t>106</w:t>
      </w:r>
      <w:r>
        <w:rPr/>
        <w:t>, 12794–12797.</w:t>
      </w:r>
      <w:bookmarkEnd w:id="100"/>
    </w:p>
    <w:p>
      <w:pPr>
        <w:pStyle w:val="Bibliography"/>
        <w:rPr/>
      </w:pPr>
      <w:bookmarkStart w:id="101" w:name="ref-china2011comparative"/>
      <w:r>
        <w:rPr/>
        <w:t xml:space="preserve">Group, C.P.B., Li, D.-Z., Gao, L.-M., Li, H.-T., Wang, H., Ge, X.-J., Liu, J.-Q., Chen, Z.-D., Zhou, S.-L., Chen, S.-L. &amp; others. (2011). Comparative analysis of a large dataset indicates that internal transcribed spacer (ITS) should be incorporated into the core barcode for seed plants. </w:t>
      </w:r>
      <w:r>
        <w:rPr>
          <w:i/>
          <w:iCs/>
        </w:rPr>
        <w:t>Proceedings of the National Academy of Sciences</w:t>
      </w:r>
      <w:r>
        <w:rPr/>
        <w:t xml:space="preserve">, </w:t>
      </w:r>
      <w:r>
        <w:rPr>
          <w:b/>
          <w:bCs/>
        </w:rPr>
        <w:t>108</w:t>
      </w:r>
      <w:r>
        <w:rPr/>
        <w:t>, 19641–19646.</w:t>
      </w:r>
      <w:bookmarkEnd w:id="101"/>
    </w:p>
    <w:p>
      <w:pPr>
        <w:pStyle w:val="Bibliography"/>
        <w:rPr/>
      </w:pPr>
      <w:bookmarkStart w:id="102" w:name="ref-havens2007chicago"/>
      <w:r>
        <w:rPr/>
        <w:t xml:space="preserve">Havens, K., Vitt, P., Schwarz, J., Orr, B. &amp; Crimmins, T. (2007). Chicago botanic garden’s conservation and outreach efforts on climate change. </w:t>
      </w:r>
      <w:r>
        <w:rPr>
          <w:i/>
          <w:iCs/>
        </w:rPr>
        <w:t>BGjournal</w:t>
      </w:r>
      <w:r>
        <w:rPr/>
        <w:t xml:space="preserve">, </w:t>
      </w:r>
      <w:r>
        <w:rPr>
          <w:b/>
          <w:bCs/>
        </w:rPr>
        <w:t>4</w:t>
      </w:r>
      <w:r>
        <w:rPr/>
        <w:t>, 13–16.</w:t>
      </w:r>
      <w:bookmarkEnd w:id="102"/>
    </w:p>
    <w:p>
      <w:pPr>
        <w:pStyle w:val="Bibliography"/>
        <w:rPr/>
      </w:pPr>
      <w:bookmarkStart w:id="103" w:name="ref-hebert2003biological"/>
      <w:r>
        <w:rPr/>
        <w:t xml:space="preserve">Hebert, P.D., Cywinska, A., Ball, S.L. &amp; DeWaard, J.R. (2003). Biological identifications through DNA barcodes. </w:t>
      </w:r>
      <w:r>
        <w:rPr>
          <w:i/>
          <w:iCs/>
        </w:rPr>
        <w:t>Proceedings of the Royal Society of London. Series B: Biological Sciences</w:t>
      </w:r>
      <w:r>
        <w:rPr/>
        <w:t xml:space="preserve">, </w:t>
      </w:r>
      <w:r>
        <w:rPr>
          <w:b/>
          <w:bCs/>
        </w:rPr>
        <w:t>270</w:t>
      </w:r>
      <w:r>
        <w:rPr/>
        <w:t>, 313–321.</w:t>
      </w:r>
      <w:bookmarkEnd w:id="103"/>
    </w:p>
    <w:p>
      <w:pPr>
        <w:pStyle w:val="Bibliography"/>
        <w:rPr/>
      </w:pPr>
      <w:bookmarkStart w:id="104" w:name="ref-hengl2017soilgrids250m"/>
      <w:r>
        <w:rPr/>
        <w:t xml:space="preserve">Hengl, T., Mendes de Jesus, J., Heuvelink, G.B., Ruiperez Gonzalez, M., Kilibarda, M., Blagotić, A., Shangguan, W., Wright, M.N., Geng, X., Bauer-Marschallinger, B. &amp; others. (2017). SoilGrids250m: Global gridded soil information based on machine learning. </w:t>
      </w:r>
      <w:r>
        <w:rPr>
          <w:i/>
          <w:iCs/>
        </w:rPr>
        <w:t>PLoS one</w:t>
      </w:r>
      <w:r>
        <w:rPr/>
        <w:t xml:space="preserve">, </w:t>
      </w:r>
      <w:r>
        <w:rPr>
          <w:b/>
          <w:bCs/>
        </w:rPr>
        <w:t>12</w:t>
      </w:r>
      <w:r>
        <w:rPr/>
        <w:t>, e0169748.</w:t>
      </w:r>
      <w:bookmarkEnd w:id="104"/>
    </w:p>
    <w:p>
      <w:pPr>
        <w:pStyle w:val="Bibliography"/>
        <w:rPr/>
      </w:pPr>
      <w:bookmarkStart w:id="105" w:name="ref-fpc2022"/>
      <w:r>
        <w:rPr/>
        <w:t xml:space="preserve">Hennig, C. (2020). </w:t>
      </w:r>
      <w:r>
        <w:rPr>
          <w:i/>
          <w:iCs/>
        </w:rPr>
        <w:t>Fpc: Flexible procedures for clustering</w:t>
      </w:r>
      <w:r>
        <w:rPr/>
        <w:t xml:space="preserve">. Retrieved from </w:t>
      </w:r>
      <w:hyperlink r:id="rId43">
        <w:r>
          <w:rPr>
            <w:rStyle w:val="InternetLink"/>
          </w:rPr>
          <w:t>https://CRAN.R-project.org/package=fpc</w:t>
        </w:r>
      </w:hyperlink>
      <w:bookmarkEnd w:id="105"/>
    </w:p>
    <w:p>
      <w:pPr>
        <w:pStyle w:val="Bibliography"/>
        <w:rPr/>
      </w:pPr>
      <w:bookmarkStart w:id="106" w:name="ref-hinchliff2015synthesis"/>
      <w:r>
        <w:rPr/>
        <w:t xml:space="preserve">Hinchliff, C.E., Smith, S.A., Allman, J.F., Burleigh, J.G., Chaudhary, R., Coghill, L.M., Crandall, K.A., Deng, J., Drew, B.T., Gazis, R. &amp; others. (2015). Synthesis of phylogeny and taxonomy into a comprehensive tree of life. </w:t>
      </w:r>
      <w:r>
        <w:rPr>
          <w:i/>
          <w:iCs/>
        </w:rPr>
        <w:t>Proceedings of the National Academy of Sciences</w:t>
      </w:r>
      <w:r>
        <w:rPr/>
        <w:t xml:space="preserve">, </w:t>
      </w:r>
      <w:r>
        <w:rPr>
          <w:b/>
          <w:bCs/>
        </w:rPr>
        <w:t>112</w:t>
      </w:r>
      <w:r>
        <w:rPr/>
        <w:t>, 12764–12769.</w:t>
      </w:r>
      <w:bookmarkEnd w:id="106"/>
    </w:p>
    <w:p>
      <w:pPr>
        <w:pStyle w:val="Bibliography"/>
        <w:rPr/>
      </w:pPr>
      <w:bookmarkStart w:id="107" w:name="ref-hitchcock2018flora"/>
      <w:r>
        <w:rPr/>
        <w:t xml:space="preserve">Hitchcock, C.L. &amp; Cronquist, A. (2018). </w:t>
      </w:r>
      <w:r>
        <w:rPr>
          <w:i/>
          <w:iCs/>
        </w:rPr>
        <w:t>Flora of the pacific northwest: An illustrated manual</w:t>
      </w:r>
      <w:r>
        <w:rPr/>
        <w:t>. University of Washington Press.</w:t>
      </w:r>
      <w:bookmarkEnd w:id="107"/>
    </w:p>
    <w:p>
      <w:pPr>
        <w:pStyle w:val="Bibliography"/>
        <w:rPr/>
      </w:pPr>
      <w:bookmarkStart w:id="108" w:name="ref-hollingsworth2016telling"/>
      <w:r>
        <w:rPr/>
        <w:t xml:space="preserve">Hollingsworth, P.M., Li, D.-Z., Bank, M. van der &amp; Twyford, A.D. (2016). Telling plant species apart with DNA: From barcodes to genomes. </w:t>
      </w:r>
      <w:r>
        <w:rPr>
          <w:i/>
          <w:iCs/>
        </w:rPr>
        <w:t>Philosophical Transactions of the Royal Society B: Biological Sciences</w:t>
      </w:r>
      <w:r>
        <w:rPr/>
        <w:t xml:space="preserve">, </w:t>
      </w:r>
      <w:r>
        <w:rPr>
          <w:b/>
          <w:bCs/>
        </w:rPr>
        <w:t>371</w:t>
      </w:r>
      <w:r>
        <w:rPr/>
        <w:t>, 20150338.</w:t>
      </w:r>
      <w:bookmarkEnd w:id="108"/>
    </w:p>
    <w:p>
      <w:pPr>
        <w:pStyle w:val="Bibliography"/>
        <w:rPr/>
      </w:pPr>
      <w:bookmarkStart w:id="109" w:name="ref-inextPackage"/>
      <w:r>
        <w:rPr/>
        <w:t xml:space="preserve">Hsieh, T.C., Ma, K.H. &amp; Chao, A. (2020). </w:t>
      </w:r>
      <w:r>
        <w:rPr>
          <w:i/>
          <w:iCs/>
        </w:rPr>
        <w:t>iNEXT: Interpolation and extrapolation for species diversity</w:t>
      </w:r>
      <w:r>
        <w:rPr/>
        <w:t xml:space="preserve">. Retrieved from </w:t>
      </w:r>
      <w:hyperlink r:id="rId44">
        <w:r>
          <w:rPr>
            <w:rStyle w:val="InternetLink"/>
          </w:rPr>
          <w:t>http://chao.stat.nthu.edu.tw/wordpress/software_download/</w:t>
        </w:r>
      </w:hyperlink>
      <w:bookmarkEnd w:id="109"/>
    </w:p>
    <w:p>
      <w:pPr>
        <w:pStyle w:val="Bibliography"/>
        <w:rPr/>
      </w:pPr>
      <w:bookmarkStart w:id="110" w:name="ref-iler2021conceptual"/>
      <w:r>
        <w:rPr/>
        <w:t xml:space="preserve">Iler, A.M., Humphrey, P.T., Ogilvie, J.E. &amp; CaraDonna, P.J. (2021). Conceptual and practical issues limit the utility of statistical estimators of phenological events. </w:t>
      </w:r>
      <w:r>
        <w:rPr>
          <w:i/>
          <w:iCs/>
        </w:rPr>
        <w:t>Ecosphere</w:t>
      </w:r>
      <w:r>
        <w:rPr/>
        <w:t xml:space="preserve">, </w:t>
      </w:r>
      <w:r>
        <w:rPr>
          <w:b/>
          <w:bCs/>
        </w:rPr>
        <w:t>12</w:t>
      </w:r>
      <w:r>
        <w:rPr/>
        <w:t>, e03828.</w:t>
      </w:r>
      <w:bookmarkEnd w:id="110"/>
    </w:p>
    <w:p>
      <w:pPr>
        <w:pStyle w:val="Bibliography"/>
        <w:rPr/>
      </w:pPr>
      <w:bookmarkStart w:id="111" w:name="ref-janzen1967synchronization"/>
      <w:r>
        <w:rPr/>
        <w:t xml:space="preserve">Janzen, D.H. (1967). Synchronization of sexual reproduction of trees within the dry season in central america. </w:t>
      </w:r>
      <w:r>
        <w:rPr>
          <w:i/>
          <w:iCs/>
        </w:rPr>
        <w:t>Evolution</w:t>
      </w:r>
      <w:r>
        <w:rPr/>
        <w:t xml:space="preserve">, </w:t>
      </w:r>
      <w:r>
        <w:rPr>
          <w:b/>
          <w:bCs/>
        </w:rPr>
        <w:t>21</w:t>
      </w:r>
      <w:r>
        <w:rPr/>
        <w:t>, 620–637.</w:t>
      </w:r>
      <w:bookmarkEnd w:id="111"/>
    </w:p>
    <w:p>
      <w:pPr>
        <w:pStyle w:val="Bibliography"/>
        <w:rPr/>
      </w:pPr>
      <w:bookmarkStart w:id="112" w:name="ref-janzen2017nuclear"/>
      <w:r>
        <w:rPr/>
        <w:t xml:space="preserve">Janzen, D.H., Burns, J.M., Cong, Q., Hallwachs, W., Dapkey, T., Manjunath, R., Hajibabaei, M., Hebert, P.D. &amp; Grishin, N.V. (2017). Nuclear genomes distinguish cryptic species suggested by their DNA barcodes and ecology. </w:t>
      </w:r>
      <w:r>
        <w:rPr>
          <w:i/>
          <w:iCs/>
        </w:rPr>
        <w:t>Proceedings of the National Academy of Sciences</w:t>
      </w:r>
      <w:r>
        <w:rPr/>
        <w:t xml:space="preserve">, </w:t>
      </w:r>
      <w:r>
        <w:rPr>
          <w:b/>
          <w:bCs/>
        </w:rPr>
        <w:t>114</w:t>
      </w:r>
      <w:r>
        <w:rPr/>
        <w:t>, 8313–8318.</w:t>
      </w:r>
      <w:bookmarkEnd w:id="112"/>
    </w:p>
    <w:p>
      <w:pPr>
        <w:pStyle w:val="Bibliography"/>
        <w:rPr/>
      </w:pPr>
      <w:bookmarkStart w:id="113" w:name="ref-jepson2022online"/>
      <w:r>
        <w:rPr>
          <w:i/>
          <w:iCs/>
        </w:rPr>
        <w:t>Jepson flora project</w:t>
      </w:r>
      <w:r>
        <w:rPr/>
        <w:t>. (2020).</w:t>
      </w:r>
      <w:bookmarkEnd w:id="113"/>
    </w:p>
    <w:p>
      <w:pPr>
        <w:pStyle w:val="Bibliography"/>
        <w:rPr/>
      </w:pPr>
      <w:bookmarkStart w:id="114" w:name="ref-johnson2021airborne"/>
      <w:r>
        <w:rPr/>
        <w:t xml:space="preserve">Johnson, M.D., Fokar, M., Cox, R.D. &amp; Barnes, M.A. (2021). Airborne environmental DNA metabarcoding detects more diversity, with less sampling effort, than a traditional plant community survey. </w:t>
      </w:r>
      <w:r>
        <w:rPr>
          <w:i/>
          <w:iCs/>
        </w:rPr>
        <w:t>BMC Ecology and Evolution</w:t>
      </w:r>
      <w:r>
        <w:rPr/>
        <w:t xml:space="preserve">, </w:t>
      </w:r>
      <w:r>
        <w:rPr>
          <w:b/>
          <w:bCs/>
        </w:rPr>
        <w:t>21</w:t>
      </w:r>
      <w:r>
        <w:rPr/>
        <w:t>, 1–15.</w:t>
      </w:r>
      <w:bookmarkEnd w:id="114"/>
    </w:p>
    <w:p>
      <w:pPr>
        <w:pStyle w:val="Bibliography"/>
        <w:rPr/>
      </w:pPr>
      <w:bookmarkStart w:id="115" w:name="ref-johnson2016hybpiper"/>
      <w:r>
        <w:rPr/>
        <w:t xml:space="preserve">Johnson, M.G., Gardner, E.M., Liu, Y., Medina, R., Goffinet, B., Shaw, A.J., Zerega, N.J. &amp; Wickett, N.J. (2016). HybPiper: Extracting coding sequence and introns for phylogenetics from high-throughput sequencing reads using target enrichment. </w:t>
      </w:r>
      <w:r>
        <w:rPr>
          <w:i/>
          <w:iCs/>
        </w:rPr>
        <w:t>Applications in plant sciences</w:t>
      </w:r>
      <w:r>
        <w:rPr/>
        <w:t xml:space="preserve">, </w:t>
      </w:r>
      <w:r>
        <w:rPr>
          <w:b/>
          <w:bCs/>
        </w:rPr>
        <w:t>4</w:t>
      </w:r>
      <w:r>
        <w:rPr/>
        <w:t>, 1600016.</w:t>
      </w:r>
      <w:bookmarkEnd w:id="115"/>
    </w:p>
    <w:p>
      <w:pPr>
        <w:pStyle w:val="Bibliography"/>
        <w:rPr/>
      </w:pPr>
      <w:bookmarkStart w:id="116" w:name="ref-johnson2019universal"/>
      <w:r>
        <w:rPr/>
        <w:t xml:space="preserve">Johnson, M.G., Pokorny, L., Dodsworth, S., Botigue, L.R., Cowan, R.S., Devault, A., Eiserhardt, W.L., Epitawalage, N., Forest, F., Kim, J.T. &amp; others. (2019). A universal probe set for targeted sequencing of 353 nuclear genes from any flowering plant designed using k-medoids clustering. </w:t>
      </w:r>
      <w:r>
        <w:rPr>
          <w:i/>
          <w:iCs/>
        </w:rPr>
        <w:t>Systematic biology</w:t>
      </w:r>
      <w:r>
        <w:rPr/>
        <w:t xml:space="preserve">, </w:t>
      </w:r>
      <w:r>
        <w:rPr>
          <w:b/>
          <w:bCs/>
        </w:rPr>
        <w:t>68</w:t>
      </w:r>
      <w:r>
        <w:rPr/>
        <w:t>, 594–606.</w:t>
      </w:r>
      <w:bookmarkEnd w:id="116"/>
    </w:p>
    <w:p>
      <w:pPr>
        <w:pStyle w:val="Bibliography"/>
        <w:rPr/>
      </w:pPr>
      <w:bookmarkStart w:id="117" w:name="ref-joshi2001local"/>
      <w:r>
        <w:rPr/>
        <w:t xml:space="preserve">Joshi, J., Schmid, B., Caldeira, M., Dimitrakopoulos, P., Good, J., Harris, R., Hector, A., Huss-Danell, K., Jumpponen, A., Minns, A. &amp; others. (2001). Local adaptation enhances performance of common plant species. </w:t>
      </w:r>
      <w:r>
        <w:rPr>
          <w:i/>
          <w:iCs/>
        </w:rPr>
        <w:t>Ecology Letters</w:t>
      </w:r>
      <w:r>
        <w:rPr/>
        <w:t xml:space="preserve">, </w:t>
      </w:r>
      <w:r>
        <w:rPr>
          <w:b/>
          <w:bCs/>
        </w:rPr>
        <w:t>4</w:t>
      </w:r>
      <w:r>
        <w:rPr/>
        <w:t>, 536–544.</w:t>
      </w:r>
      <w:bookmarkEnd w:id="117"/>
    </w:p>
    <w:p>
      <w:pPr>
        <w:pStyle w:val="Bibliography"/>
        <w:rPr/>
      </w:pPr>
      <w:bookmarkStart w:id="118" w:name="ref-keane2002cascading"/>
      <w:r>
        <w:rPr/>
        <w:t>Keane, R.E. (2002). Cascading effects of fire exclusion in rocky mountain ecosystems: A literature review.</w:t>
      </w:r>
      <w:bookmarkEnd w:id="118"/>
    </w:p>
    <w:p>
      <w:pPr>
        <w:pStyle w:val="Bibliography"/>
        <w:rPr/>
      </w:pPr>
      <w:bookmarkStart w:id="119" w:name="ref-kramer2015report"/>
      <w:r>
        <w:rPr/>
        <w:t xml:space="preserve">Kramer, A.T. &amp; Havens, K. (2015). Report in brief: Assessing botanical capacity to address grand challenges in the united states. </w:t>
      </w:r>
      <w:r>
        <w:rPr>
          <w:i/>
          <w:iCs/>
        </w:rPr>
        <w:t>Natural Areas Journal</w:t>
      </w:r>
      <w:r>
        <w:rPr/>
        <w:t xml:space="preserve">, </w:t>
      </w:r>
      <w:r>
        <w:rPr>
          <w:b/>
          <w:bCs/>
        </w:rPr>
        <w:t>35</w:t>
      </w:r>
      <w:r>
        <w:rPr/>
        <w:t>, 83–89.</w:t>
      </w:r>
      <w:bookmarkEnd w:id="119"/>
    </w:p>
    <w:p>
      <w:pPr>
        <w:pStyle w:val="Bibliography"/>
        <w:rPr/>
      </w:pPr>
      <w:bookmarkStart w:id="120" w:name="ref-kress2017plant"/>
      <w:r>
        <w:rPr/>
        <w:t xml:space="preserve">Kress, W.J. (2017). Plant DNA barcodes: Applications today and in the future. </w:t>
      </w:r>
      <w:r>
        <w:rPr>
          <w:i/>
          <w:iCs/>
        </w:rPr>
        <w:t>Journal of systematics and evolution</w:t>
      </w:r>
      <w:r>
        <w:rPr/>
        <w:t xml:space="preserve">, </w:t>
      </w:r>
      <w:r>
        <w:rPr>
          <w:b/>
          <w:bCs/>
        </w:rPr>
        <w:t>55</w:t>
      </w:r>
      <w:r>
        <w:rPr/>
        <w:t>, 291–307.</w:t>
      </w:r>
      <w:bookmarkEnd w:id="120"/>
    </w:p>
    <w:p>
      <w:pPr>
        <w:pStyle w:val="Bibliography"/>
        <w:rPr/>
      </w:pPr>
      <w:bookmarkStart w:id="121" w:name="ref-kress2007two"/>
      <w:r>
        <w:rPr/>
        <w:t xml:space="preserve">Kress, W.J. &amp; Erickson, D.L. (2007). A two-locus global DNA barcode for land plants: The coding rbcL gene complements the non-coding trnH-psbA spacer region. </w:t>
      </w:r>
      <w:r>
        <w:rPr>
          <w:i/>
          <w:iCs/>
        </w:rPr>
        <w:t>PLoS one</w:t>
      </w:r>
      <w:r>
        <w:rPr/>
        <w:t xml:space="preserve">, </w:t>
      </w:r>
      <w:r>
        <w:rPr>
          <w:b/>
          <w:bCs/>
        </w:rPr>
        <w:t>2</w:t>
      </w:r>
      <w:r>
        <w:rPr/>
        <w:t>, e508.</w:t>
      </w:r>
      <w:bookmarkEnd w:id="121"/>
    </w:p>
    <w:p>
      <w:pPr>
        <w:pStyle w:val="Bibliography"/>
        <w:rPr/>
      </w:pPr>
      <w:bookmarkStart w:id="122" w:name="ref-caret"/>
      <w:r>
        <w:rPr/>
        <w:t xml:space="preserve">Kuhn, M. (2022). </w:t>
      </w:r>
      <w:r>
        <w:rPr>
          <w:i/>
          <w:iCs/>
        </w:rPr>
        <w:t>Caret: Classification and regression training</w:t>
      </w:r>
      <w:r>
        <w:rPr/>
        <w:t xml:space="preserve">. Retrieved from </w:t>
      </w:r>
      <w:hyperlink r:id="rId45">
        <w:r>
          <w:rPr>
            <w:rStyle w:val="InternetLink"/>
          </w:rPr>
          <w:t>https://CRAN.R-project.org/package=caret</w:t>
        </w:r>
      </w:hyperlink>
      <w:bookmarkEnd w:id="122"/>
    </w:p>
    <w:p>
      <w:pPr>
        <w:pStyle w:val="Bibliography"/>
        <w:rPr/>
      </w:pPr>
      <w:bookmarkStart w:id="123" w:name="ref-lamb2019quantitative"/>
      <w:r>
        <w:rPr/>
        <w:t xml:space="preserve">Lamb, P.D., Hunter, E., Pinnegar, J.K., Creer, S., Davies, R.G. &amp; Taylor, M.I. (2019). How quantitative is metabarcoding: A meta-analytical approach. </w:t>
      </w:r>
      <w:r>
        <w:rPr>
          <w:i/>
          <w:iCs/>
        </w:rPr>
        <w:t>Molecular ecology</w:t>
      </w:r>
      <w:r>
        <w:rPr/>
        <w:t xml:space="preserve">, </w:t>
      </w:r>
      <w:r>
        <w:rPr>
          <w:b/>
          <w:bCs/>
        </w:rPr>
        <w:t>28</w:t>
      </w:r>
      <w:r>
        <w:rPr/>
        <w:t>, 420–430.</w:t>
      </w:r>
      <w:bookmarkEnd w:id="123"/>
    </w:p>
    <w:p>
      <w:pPr>
        <w:pStyle w:val="Bibliography"/>
        <w:rPr/>
      </w:pPr>
      <w:bookmarkStart w:id="124" w:name="ref-aim2019database"/>
      <w:r>
        <w:rPr/>
        <w:t xml:space="preserve">Land Management, B. of. (2019). U.s. Department of interior bureau of land management, BLM - assessment, inventory, and monitoring (AIM) terrestrial indicators raw dataset. Retrieved from </w:t>
      </w:r>
      <w:hyperlink r:id="rId46">
        <w:r>
          <w:rPr>
            <w:rStyle w:val="InternetLink"/>
          </w:rPr>
          <w:t>https://gbp-blm-egis.hub.arcgis.com/pages/aim</w:t>
        </w:r>
      </w:hyperlink>
      <w:bookmarkEnd w:id="124"/>
    </w:p>
    <w:p>
      <w:pPr>
        <w:pStyle w:val="Bibliography"/>
        <w:rPr/>
      </w:pPr>
      <w:bookmarkStart w:id="125" w:name="ref-lang2019genome"/>
      <w:r>
        <w:rPr/>
        <w:t xml:space="preserve">Lang, D., Tang, M., Hu, J. &amp; Zhou, X. (2019). Genome-skimming provides accurate quantification for pollen mixtures. </w:t>
      </w:r>
      <w:r>
        <w:rPr>
          <w:i/>
          <w:iCs/>
        </w:rPr>
        <w:t>Molecular Ecology Resources</w:t>
      </w:r>
      <w:r>
        <w:rPr/>
        <w:t xml:space="preserve">, </w:t>
      </w:r>
      <w:r>
        <w:rPr>
          <w:b/>
          <w:bCs/>
        </w:rPr>
        <w:t>19</w:t>
      </w:r>
      <w:r>
        <w:rPr/>
        <w:t>, 1433–1446.</w:t>
      </w:r>
      <w:bookmarkEnd w:id="125"/>
    </w:p>
    <w:p>
      <w:pPr>
        <w:pStyle w:val="Bibliography"/>
        <w:rPr/>
      </w:pPr>
      <w:bookmarkStart w:id="126" w:name="ref-lesica2012manual"/>
      <w:r>
        <w:rPr/>
        <w:t xml:space="preserve">Lesica, P., Lavin, M. &amp; Stickney, P.F. (2012). </w:t>
      </w:r>
      <w:r>
        <w:rPr>
          <w:i/>
          <w:iCs/>
        </w:rPr>
        <w:t>Manual of montana vascular plants</w:t>
      </w:r>
      <w:r>
        <w:rPr/>
        <w:t>. Brit Press.</w:t>
      </w:r>
      <w:bookmarkEnd w:id="126"/>
    </w:p>
    <w:p>
      <w:pPr>
        <w:pStyle w:val="Bibliography"/>
        <w:rPr/>
      </w:pPr>
      <w:bookmarkStart w:id="127" w:name="ref-lewin2022biogenome"/>
      <w:r>
        <w:rPr/>
        <w:t xml:space="preserve">Lewin, H.A., Richards, S., Aiden, E.L., Allende, M.L., Archibald, J.M., Bálint, M., Barker, K.B., Baumgartner, B., Belov, K., Bertorelle, G., Blaxter, M.L., Cai, J., Caperello, N.D., Carlson, K., Castilla-Rubio, J.C., Chaw, S.-M., Chen, L., Childers, A.K., Coddington, J.A., Conde, D.A., Corominas, M., Crandall, K.A., Crawford, A.J., DiPalma, F., Durbin, R., Ebenezer, T.E., Edwards, S.V., Fedrigo, O., Flicek, P., Formenti, G., Gibbs, R.A., Gilbert, M.T.P., Goldstein, M.M., Graves, J.M., Greely, H.T., Grigoriev, I.V., Hackett, K.J., Hall, N., Haussler, D., Helgen, K.M., Hogg, C.J., Isobe, S., Jakobsen, K.S., Janke, A., Jarvis, E.D., Johnson, W.E., Jones, S.J.M., Karlsson, E.K., Kersey, P.J., Kim, J.-H., Kress, W.J., Kuraku, S., Lawniczak, M.K.N., Leebens-Mack, J.H., Li, X., Lindblad-Toh, K., Liu, X., Lopez, J.V., Marques-Bonet, T., Mazard, S., Mazet, J.A.K., Mazzoni, C.J., Myers, E.W., O’Neill, R.J., Paez, S., Park, H., Robinson, G.E., Roquet, C., Ryder, O.A., Sabir, J.S.M., Shaffer, H.B., Shank, T.M., Sherkow, J.S., Soltis, P.S., Tang, B., Tedersoo, L., Uliano-Silva, M., Wang, K., Wei, X., Wetzer, R., Wilson, J.L., Xu, X., Yang, H., Yoder, A.D. &amp; Zhang, G. (2022). The earth BioGenome project 2020: Starting the clock. </w:t>
      </w:r>
      <w:r>
        <w:rPr>
          <w:i/>
          <w:iCs/>
        </w:rPr>
        <w:t>Proceedings of the National Academy of Sciences</w:t>
      </w:r>
      <w:r>
        <w:rPr/>
        <w:t xml:space="preserve">, </w:t>
      </w:r>
      <w:r>
        <w:rPr>
          <w:b/>
          <w:bCs/>
        </w:rPr>
        <w:t>119</w:t>
      </w:r>
      <w:r>
        <w:rPr/>
        <w:t xml:space="preserve">, e2115635118. Retrieved from </w:t>
      </w:r>
      <w:hyperlink r:id="rId47">
        <w:r>
          <w:rPr>
            <w:rStyle w:val="InternetLink"/>
          </w:rPr>
          <w:t>https://www.pnas.org/doi/abs/10.1073/pnas.2115635118</w:t>
        </w:r>
      </w:hyperlink>
      <w:bookmarkEnd w:id="127"/>
    </w:p>
    <w:p>
      <w:pPr>
        <w:pStyle w:val="Bibliography"/>
        <w:rPr/>
      </w:pPr>
      <w:bookmarkStart w:id="128" w:name="ref-liang2021evolutionary"/>
      <w:r>
        <w:rPr/>
        <w:t xml:space="preserve">Liang, H., Zhao, Y.-H., Rafferty, N.E., Ren, Z.-X., Zhong, L., Li, H.-D., Li, D.-Z. &amp; Wang, H. (2021). Evolutionary and ecological factors structure a plant–bumblebee network in a biodiversity hotspot, the himalaya–hengduan mountains. </w:t>
      </w:r>
      <w:r>
        <w:rPr>
          <w:i/>
          <w:iCs/>
        </w:rPr>
        <w:t>Functional Ecology</w:t>
      </w:r>
      <w:r>
        <w:rPr/>
        <w:t xml:space="preserve">, </w:t>
      </w:r>
      <w:r>
        <w:rPr>
          <w:b/>
          <w:bCs/>
        </w:rPr>
        <w:t>35</w:t>
      </w:r>
      <w:r>
        <w:rPr/>
        <w:t>, 2523–2535.</w:t>
      </w:r>
      <w:bookmarkEnd w:id="128"/>
    </w:p>
    <w:p>
      <w:pPr>
        <w:pStyle w:val="Bibliography"/>
        <w:rPr/>
      </w:pPr>
      <w:bookmarkStart w:id="129" w:name="ref-darwin2022project"/>
      <w:r>
        <w:rPr/>
        <w:t xml:space="preserve">Life Project Consortium, D.T. of, Blaxter, M., Mieszkowska, N., Palma, F.D., Holland, P., Durbin, R., Richards, T., Berriman, M., Kersey, P., Hollingsworth, P., Wilson, W., Twyford, A., Gaya, E., Lawniczak, M., Lewis, O., Broad, G., Howe, K., Hart, M., Flicek, P. &amp; Barnes, I. (2022). Sequence locally, think globally: The darwin tree of life project. </w:t>
      </w:r>
      <w:r>
        <w:rPr>
          <w:i/>
          <w:iCs/>
        </w:rPr>
        <w:t>Proceedings of the National Academy of Sciences</w:t>
      </w:r>
      <w:r>
        <w:rPr/>
        <w:t xml:space="preserve">, </w:t>
      </w:r>
      <w:r>
        <w:rPr>
          <w:b/>
          <w:bCs/>
        </w:rPr>
        <w:t>119</w:t>
      </w:r>
      <w:r>
        <w:rPr/>
        <w:t xml:space="preserve">, e2115642118. Retrieved from </w:t>
      </w:r>
      <w:hyperlink r:id="rId48">
        <w:r>
          <w:rPr>
            <w:rStyle w:val="InternetLink"/>
          </w:rPr>
          <w:t>https://www.pnas.org/doi/abs/10.1073/pnas.2115642118</w:t>
        </w:r>
      </w:hyperlink>
      <w:bookmarkEnd w:id="129"/>
    </w:p>
    <w:p>
      <w:pPr>
        <w:pStyle w:val="Bibliography"/>
        <w:rPr/>
      </w:pPr>
      <w:bookmarkStart w:id="130" w:name="ref-li2016responses"/>
      <w:r>
        <w:rPr/>
        <w:t xml:space="preserve">Li, X., Jiang, L., Meng, F., Wang, S., Niu, H., Iler, A.M., Duan, J., Zhang, Z., Luo, C., Cui, S. &amp; others. (2016). Responses of sequential and hierarchical phenological events to warming and cooling in alpine meadows. </w:t>
      </w:r>
      <w:r>
        <w:rPr>
          <w:i/>
          <w:iCs/>
        </w:rPr>
        <w:t>Nature Communications</w:t>
      </w:r>
      <w:r>
        <w:rPr/>
        <w:t xml:space="preserve">, </w:t>
      </w:r>
      <w:r>
        <w:rPr>
          <w:b/>
          <w:bCs/>
        </w:rPr>
        <w:t>7</w:t>
      </w:r>
      <w:r>
        <w:rPr/>
        <w:t>, 1–8.</w:t>
      </w:r>
      <w:bookmarkEnd w:id="130"/>
    </w:p>
    <w:p>
      <w:pPr>
        <w:pStyle w:val="Bibliography"/>
        <w:rPr/>
      </w:pPr>
      <w:bookmarkStart w:id="131" w:name="ref-liu2014identification"/>
      <w:r>
        <w:rPr/>
        <w:t xml:space="preserve">Liu, J., Shi, L., Han, J., Li, G., Lu, H., Hou, J., Zhou, X., Meng, F. &amp; Downie, S.R. (2014). Identification of species in the angiosperm family apiaceae using DNA barcodes. </w:t>
      </w:r>
      <w:r>
        <w:rPr>
          <w:i/>
          <w:iCs/>
        </w:rPr>
        <w:t>Molecular ecology resources</w:t>
      </w:r>
      <w:r>
        <w:rPr/>
        <w:t xml:space="preserve">, </w:t>
      </w:r>
      <w:r>
        <w:rPr>
          <w:b/>
          <w:bCs/>
        </w:rPr>
        <w:t>14</w:t>
      </w:r>
      <w:r>
        <w:rPr/>
        <w:t>, 1231–1238.</w:t>
      </w:r>
      <w:bookmarkEnd w:id="131"/>
    </w:p>
    <w:p>
      <w:pPr>
        <w:pStyle w:val="Bibliography"/>
        <w:rPr/>
      </w:pPr>
      <w:bookmarkStart w:id="132" w:name="ref-li2015plant"/>
      <w:r>
        <w:rPr/>
        <w:t xml:space="preserve">Li, X., Yang, Y., Henry, R.J., Rossetto, M., Wang, Y. &amp; Chen, S. (2015). Plant DNA barcoding: From gene to genome. </w:t>
      </w:r>
      <w:r>
        <w:rPr>
          <w:i/>
          <w:iCs/>
        </w:rPr>
        <w:t>Biological Reviews</w:t>
      </w:r>
      <w:r>
        <w:rPr/>
        <w:t xml:space="preserve">, </w:t>
      </w:r>
      <w:r>
        <w:rPr>
          <w:b/>
          <w:bCs/>
        </w:rPr>
        <w:t>90</w:t>
      </w:r>
      <w:r>
        <w:rPr/>
        <w:t>, 157–166.</w:t>
      </w:r>
      <w:bookmarkEnd w:id="132"/>
    </w:p>
    <w:p>
      <w:pPr>
        <w:pStyle w:val="Bibliography"/>
        <w:rPr/>
      </w:pPr>
      <w:bookmarkStart w:id="133" w:name="ref-loarie2009velocity"/>
      <w:r>
        <w:rPr/>
        <w:t xml:space="preserve">Loarie, S.R., Duffy, P.B., Hamilton, H., Asner, G.P., Field, C.B. &amp; Ackerly, D.D. (2009). The velocity of climate change. </w:t>
      </w:r>
      <w:r>
        <w:rPr>
          <w:i/>
          <w:iCs/>
        </w:rPr>
        <w:t>Nature</w:t>
      </w:r>
      <w:r>
        <w:rPr/>
        <w:t xml:space="preserve">, </w:t>
      </w:r>
      <w:r>
        <w:rPr>
          <w:b/>
          <w:bCs/>
        </w:rPr>
        <w:t>462</w:t>
      </w:r>
      <w:r>
        <w:rPr/>
        <w:t>, 1052–1055.</w:t>
      </w:r>
      <w:bookmarkEnd w:id="133"/>
    </w:p>
    <w:p>
      <w:pPr>
        <w:pStyle w:val="Bibliography"/>
        <w:rPr/>
      </w:pPr>
      <w:bookmarkStart w:id="134" w:name="ref-lu2017bracken"/>
      <w:r>
        <w:rPr/>
        <w:t xml:space="preserve">Lu, J., Breitwieser, F.P., Thielen, P. &amp; Salzberg, S.L. (2017). Bracken: Estimating species abundance in metagenomics data. </w:t>
      </w:r>
      <w:r>
        <w:rPr>
          <w:i/>
          <w:iCs/>
        </w:rPr>
        <w:t>PeerJ Computer Science</w:t>
      </w:r>
      <w:r>
        <w:rPr/>
        <w:t xml:space="preserve">, </w:t>
      </w:r>
      <w:r>
        <w:rPr>
          <w:b/>
          <w:bCs/>
        </w:rPr>
        <w:t>3</w:t>
      </w:r>
      <w:r>
        <w:rPr/>
        <w:t>, e104.</w:t>
      </w:r>
      <w:bookmarkEnd w:id="134"/>
    </w:p>
    <w:p>
      <w:pPr>
        <w:pStyle w:val="Bibliography"/>
        <w:rPr/>
      </w:pPr>
      <w:bookmarkStart w:id="135" w:name="ref-cluster2022"/>
      <w:r>
        <w:rPr/>
        <w:t xml:space="preserve">Maechler, M., Rousseeuw, P., Struyf, A., Hubert, M. &amp; Hornik, K. (2022). </w:t>
      </w:r>
      <w:r>
        <w:rPr>
          <w:i/>
          <w:iCs/>
        </w:rPr>
        <w:t>Cluster: Cluster analysis basics and extensions</w:t>
      </w:r>
      <w:r>
        <w:rPr/>
        <w:t xml:space="preserve">. Retrieved from </w:t>
      </w:r>
      <w:hyperlink r:id="rId49">
        <w:r>
          <w:rPr>
            <w:rStyle w:val="InternetLink"/>
          </w:rPr>
          <w:t>https://CRAN.R-project.org/package=cluster</w:t>
        </w:r>
      </w:hyperlink>
      <w:bookmarkEnd w:id="135"/>
    </w:p>
    <w:p>
      <w:pPr>
        <w:pStyle w:val="Bibliography"/>
        <w:rPr/>
      </w:pPr>
      <w:bookmarkStart w:id="136" w:name="ref-mainali2022alpha"/>
      <w:r>
        <w:rPr/>
        <w:t xml:space="preserve">Mainali, K. &amp; Slud, E. (2022). </w:t>
      </w:r>
      <w:r>
        <w:rPr>
          <w:i/>
          <w:iCs/>
        </w:rPr>
        <w:t>CooccurrenceAffinity: Affinity in cooccrrence data</w:t>
      </w:r>
      <w:r>
        <w:rPr/>
        <w:t>.</w:t>
      </w:r>
      <w:bookmarkEnd w:id="136"/>
    </w:p>
    <w:p>
      <w:pPr>
        <w:pStyle w:val="Bibliography"/>
        <w:rPr/>
      </w:pPr>
      <w:bookmarkStart w:id="137" w:name="ref-mainali2022better"/>
      <w:r>
        <w:rPr/>
        <w:t xml:space="preserve">Mainali, K.P., Slud, E., Singer, M.C. &amp; Fagan, W.F. (2022). A better index for analysis of co-occurrence and similarity. </w:t>
      </w:r>
      <w:r>
        <w:rPr>
          <w:i/>
          <w:iCs/>
        </w:rPr>
        <w:t>Science Advances</w:t>
      </w:r>
      <w:r>
        <w:rPr/>
        <w:t xml:space="preserve">, </w:t>
      </w:r>
      <w:r>
        <w:rPr>
          <w:b/>
          <w:bCs/>
        </w:rPr>
        <w:t>8</w:t>
      </w:r>
      <w:r>
        <w:rPr/>
        <w:t>, eabj9204.</w:t>
      </w:r>
      <w:bookmarkEnd w:id="137"/>
    </w:p>
    <w:p>
      <w:pPr>
        <w:pStyle w:val="Bibliography"/>
        <w:rPr/>
      </w:pPr>
      <w:bookmarkStart w:id="138" w:name="ref-bien2022"/>
      <w:r>
        <w:rPr/>
        <w:t xml:space="preserve">Maitner, B. (2022). </w:t>
      </w:r>
      <w:r>
        <w:rPr>
          <w:i/>
          <w:iCs/>
        </w:rPr>
        <w:t>BIEN: Tools for accessing the botanical information and ecology network database</w:t>
      </w:r>
      <w:r>
        <w:rPr/>
        <w:t xml:space="preserve">. Retrieved from </w:t>
      </w:r>
      <w:hyperlink r:id="rId50">
        <w:r>
          <w:rPr>
            <w:rStyle w:val="InternetLink"/>
          </w:rPr>
          <w:t>https://CRAN.R-project.org/package=BIEN</w:t>
        </w:r>
      </w:hyperlink>
      <w:bookmarkEnd w:id="138"/>
    </w:p>
    <w:p>
      <w:pPr>
        <w:pStyle w:val="Bibliography"/>
        <w:rPr/>
      </w:pPr>
      <w:bookmarkStart w:id="139" w:name="ref-manzano2021flippant"/>
      <w:r>
        <w:rPr/>
        <w:t xml:space="preserve">Manzano, S. (2021). Flippant attitudes towards plant identification jeopardize early career botanists. </w:t>
      </w:r>
      <w:r>
        <w:rPr>
          <w:i/>
          <w:iCs/>
        </w:rPr>
        <w:t>Trends in Plant Science</w:t>
      </w:r>
      <w:r>
        <w:rPr/>
        <w:t xml:space="preserve">, </w:t>
      </w:r>
      <w:r>
        <w:rPr>
          <w:b/>
          <w:bCs/>
        </w:rPr>
        <w:t>26</w:t>
      </w:r>
      <w:r>
        <w:rPr/>
        <w:t>, 987–988.</w:t>
      </w:r>
      <w:bookmarkEnd w:id="139"/>
    </w:p>
    <w:p>
      <w:pPr>
        <w:pStyle w:val="Bibliography"/>
        <w:rPr/>
      </w:pPr>
      <w:bookmarkStart w:id="140" w:name="ref-mclay2021new"/>
      <w:r>
        <w:rPr/>
        <w:t xml:space="preserve">McLay, T.G., Birch, J.L., Gunn, B.F., Ning, W., Tate, J.A., Nauheimer, L., Joyce, E.M., Simpson, L., Schmidt-Lebuhn, A.N., William J &amp; others. (2021). New targets acquired: Improving locus recovery from the Angiosperms353 probe set. </w:t>
      </w:r>
      <w:r>
        <w:rPr>
          <w:i/>
          <w:iCs/>
        </w:rPr>
        <w:t>Applications in plant sciences</w:t>
      </w:r>
      <w:r>
        <w:rPr/>
        <w:t xml:space="preserve">, </w:t>
      </w:r>
      <w:r>
        <w:rPr>
          <w:b/>
          <w:bCs/>
        </w:rPr>
        <w:t>9</w:t>
      </w:r>
      <w:r>
        <w:rPr/>
        <w:t>.</w:t>
      </w:r>
      <w:bookmarkEnd w:id="140"/>
    </w:p>
    <w:p>
      <w:pPr>
        <w:pStyle w:val="Bibliography"/>
        <w:rPr/>
      </w:pPr>
      <w:bookmarkStart w:id="141" w:name="ref-mohlenbrock2002vascular"/>
      <w:r>
        <w:rPr/>
        <w:t xml:space="preserve">Mohlenbrock, R.H. (2002). </w:t>
      </w:r>
      <w:r>
        <w:rPr>
          <w:i/>
          <w:iCs/>
        </w:rPr>
        <w:t>Vascular flora of illinois</w:t>
      </w:r>
      <w:r>
        <w:rPr/>
        <w:t>. SIU Press.</w:t>
      </w:r>
      <w:bookmarkEnd w:id="141"/>
    </w:p>
    <w:p>
      <w:pPr>
        <w:pStyle w:val="Bibliography"/>
        <w:rPr/>
      </w:pPr>
      <w:bookmarkStart w:id="142" w:name="ref-moore2003its"/>
      <w:r>
        <w:rPr/>
        <w:t xml:space="preserve">Moore, A.J. &amp; Bohs, L. (2003). An ITS phylogeny of balsamorhiza and wyethia (asteraceae: heliantheae). </w:t>
      </w:r>
      <w:r>
        <w:rPr>
          <w:i/>
          <w:iCs/>
        </w:rPr>
        <w:t>American Journal of Botany</w:t>
      </w:r>
      <w:r>
        <w:rPr/>
        <w:t xml:space="preserve">, </w:t>
      </w:r>
      <w:r>
        <w:rPr>
          <w:b/>
          <w:bCs/>
        </w:rPr>
        <w:t>90</w:t>
      </w:r>
      <w:r>
        <w:rPr/>
        <w:t>, 1653–1660.</w:t>
      </w:r>
      <w:bookmarkEnd w:id="142"/>
    </w:p>
    <w:p>
      <w:pPr>
        <w:pStyle w:val="Bibliography"/>
        <w:rPr/>
      </w:pPr>
      <w:bookmarkStart w:id="143" w:name="ref-naiman1988alteration"/>
      <w:r>
        <w:rPr/>
        <w:t xml:space="preserve">Naiman, R.J., Johnston, C.A. &amp; Kelley, J.C. (1988). Alteration of north american streams by beaver. </w:t>
      </w:r>
      <w:r>
        <w:rPr>
          <w:i/>
          <w:iCs/>
        </w:rPr>
        <w:t>BioScience</w:t>
      </w:r>
      <w:r>
        <w:rPr/>
        <w:t xml:space="preserve">, </w:t>
      </w:r>
      <w:r>
        <w:rPr>
          <w:b/>
          <w:bCs/>
        </w:rPr>
        <w:t>38</w:t>
      </w:r>
      <w:r>
        <w:rPr/>
        <w:t>, 753–762.</w:t>
      </w:r>
      <w:bookmarkEnd w:id="143"/>
    </w:p>
    <w:p>
      <w:pPr>
        <w:pStyle w:val="Bibliography"/>
        <w:rPr/>
      </w:pPr>
      <w:bookmarkStart w:id="144" w:name="ref-sdmPackage"/>
      <w:r>
        <w:rPr/>
        <w:t xml:space="preserve">Naimi, B. &amp; Araujo, M.B. (2016). </w:t>
      </w:r>
      <w:hyperlink r:id="rId51">
        <w:r>
          <w:rPr>
            <w:rStyle w:val="InternetLink"/>
          </w:rPr>
          <w:t>Sdm: A reproducible and extensible r platform for species distribution modelling</w:t>
        </w:r>
      </w:hyperlink>
      <w:r>
        <w:rPr/>
        <w:t xml:space="preserve">. </w:t>
      </w:r>
      <w:r>
        <w:rPr>
          <w:i/>
          <w:iCs/>
        </w:rPr>
        <w:t>Ecography</w:t>
      </w:r>
      <w:r>
        <w:rPr/>
        <w:t xml:space="preserve">, </w:t>
      </w:r>
      <w:r>
        <w:rPr>
          <w:b/>
          <w:bCs/>
        </w:rPr>
        <w:t>39</w:t>
      </w:r>
      <w:r>
        <w:rPr/>
        <w:t>, 368–375.</w:t>
      </w:r>
      <w:bookmarkEnd w:id="144"/>
    </w:p>
    <w:p>
      <w:pPr>
        <w:pStyle w:val="Bibliography"/>
        <w:rPr/>
      </w:pPr>
      <w:bookmarkStart w:id="145" w:name="ref-usdm2014"/>
      <w:r>
        <w:rPr/>
        <w:t xml:space="preserve">Naimi, B., Hamm, N. a.s., Groen, T.A., Skidmore, A.K. &amp; Toxopeus, A.G. (2014). </w:t>
      </w:r>
      <w:hyperlink r:id="rId52">
        <w:r>
          <w:rPr>
            <w:rStyle w:val="InternetLink"/>
          </w:rPr>
          <w:t>Where is positional uncertainty a problem for species distribution modelling</w:t>
        </w:r>
      </w:hyperlink>
      <w:r>
        <w:rPr/>
        <w:t xml:space="preserve">. </w:t>
      </w:r>
      <w:r>
        <w:rPr>
          <w:i/>
          <w:iCs/>
        </w:rPr>
        <w:t>Ecography</w:t>
      </w:r>
      <w:r>
        <w:rPr/>
        <w:t xml:space="preserve">, </w:t>
      </w:r>
      <w:r>
        <w:rPr>
          <w:b/>
          <w:bCs/>
        </w:rPr>
        <w:t>37</w:t>
      </w:r>
      <w:r>
        <w:rPr/>
        <w:t>, 191–203.</w:t>
      </w:r>
      <w:bookmarkEnd w:id="145"/>
    </w:p>
    <w:p>
      <w:pPr>
        <w:pStyle w:val="Bibliography"/>
        <w:rPr/>
      </w:pPr>
      <w:bookmarkStart w:id="146" w:name="ref-nazaire2014phylogenetic"/>
      <w:r>
        <w:rPr/>
        <w:t xml:space="preserve">Nazaire, M. &amp; Hufford, L. (2014). Phylogenetic systematics of the genus mertensia (boraginaceae). </w:t>
      </w:r>
      <w:r>
        <w:rPr>
          <w:i/>
          <w:iCs/>
        </w:rPr>
        <w:t>Systematic Botany</w:t>
      </w:r>
      <w:r>
        <w:rPr/>
        <w:t xml:space="preserve">, </w:t>
      </w:r>
      <w:r>
        <w:rPr>
          <w:b/>
          <w:bCs/>
        </w:rPr>
        <w:t>39</w:t>
      </w:r>
      <w:r>
        <w:rPr/>
        <w:t>, 268–303.</w:t>
      </w:r>
      <w:bookmarkEnd w:id="146"/>
    </w:p>
    <w:p>
      <w:pPr>
        <w:pStyle w:val="Bibliography"/>
        <w:rPr/>
      </w:pPr>
      <w:bookmarkStart w:id="147" w:name="ref-nevado2016widespread"/>
      <w:r>
        <w:rPr/>
        <w:t xml:space="preserve">Nevado, B., Atchison, G.W., Hughes, C.E. &amp; Filatov, D.A. (2016). Widespread adaptive evolution during repeated evolutionary radiations in new world lupins. </w:t>
      </w:r>
      <w:r>
        <w:rPr>
          <w:i/>
          <w:iCs/>
        </w:rPr>
        <w:t>Nature communications</w:t>
      </w:r>
      <w:r>
        <w:rPr/>
        <w:t xml:space="preserve">, </w:t>
      </w:r>
      <w:r>
        <w:rPr>
          <w:b/>
          <w:bCs/>
        </w:rPr>
        <w:t>7</w:t>
      </w:r>
      <w:r>
        <w:rPr/>
        <w:t>, 1–9.</w:t>
      </w:r>
      <w:bookmarkEnd w:id="147"/>
    </w:p>
    <w:p>
      <w:pPr>
        <w:pStyle w:val="Bibliography"/>
        <w:rPr/>
      </w:pPr>
      <w:bookmarkStart w:id="148" w:name="ref-Newstrom1994ANC"/>
      <w:r>
        <w:rPr/>
        <w:t xml:space="preserve">Newstrom, L.E., Frankie, G.W. &amp; Baker, H.G. (1994). A new classification for plant phenology based on flowering patterns in lowland tropical rain forest trees at la selva, costa rica. </w:t>
      </w:r>
      <w:r>
        <w:rPr>
          <w:i/>
          <w:iCs/>
        </w:rPr>
        <w:t>Biotropica</w:t>
      </w:r>
      <w:r>
        <w:rPr/>
        <w:t xml:space="preserve">, </w:t>
      </w:r>
      <w:r>
        <w:rPr>
          <w:b/>
          <w:bCs/>
        </w:rPr>
        <w:t>26</w:t>
      </w:r>
      <w:r>
        <w:rPr/>
        <w:t>, 141–159.</w:t>
      </w:r>
      <w:bookmarkEnd w:id="148"/>
    </w:p>
    <w:p>
      <w:pPr>
        <w:pStyle w:val="Bibliography"/>
        <w:rPr/>
      </w:pPr>
      <w:bookmarkStart w:id="149" w:name="ref-oberhauser2015monarchs"/>
      <w:r>
        <w:rPr/>
        <w:t xml:space="preserve">Oberhauser, K.S., Nail, K.R. &amp; Altizer, S. (2015). </w:t>
      </w:r>
      <w:r>
        <w:rPr>
          <w:i/>
          <w:iCs/>
        </w:rPr>
        <w:t>Monarchs in a changing world: Biology and conservation of an iconic butterfly</w:t>
      </w:r>
      <w:r>
        <w:rPr/>
        <w:t>. Cornell University Press.</w:t>
      </w:r>
      <w:bookmarkEnd w:id="149"/>
    </w:p>
    <w:p>
      <w:pPr>
        <w:pStyle w:val="Bibliography"/>
        <w:rPr/>
      </w:pPr>
      <w:bookmarkStart w:id="150" w:name="ref-gbifDL2021sdms"/>
      <w:r>
        <w:rPr/>
        <w:t xml:space="preserve">Occdownload Gbif.Org. (2021). Occurrence download. Retrieved from </w:t>
      </w:r>
      <w:hyperlink r:id="rId53">
        <w:r>
          <w:rPr>
            <w:rStyle w:val="InternetLink"/>
          </w:rPr>
          <w:t>https://www.gbif.org/occurrence/download/0206948-200613084148143</w:t>
        </w:r>
      </w:hyperlink>
      <w:bookmarkEnd w:id="150"/>
    </w:p>
    <w:p>
      <w:pPr>
        <w:pStyle w:val="Bibliography"/>
        <w:rPr/>
      </w:pPr>
      <w:bookmarkStart w:id="151" w:name="ref-vegans2022"/>
      <w:r>
        <w:rPr/>
        <w:t xml:space="preserve">Oksanen, J., Simpson, G.L., Blanchet, F.G., Kindt, R., Legendre, P., Minchin, P.R., O’Hara, R.B., Solymos, P., Stevens, M.H.H., Szoecs, E., Wagner, H., Barbour, M., Bedward, M., Bolker, B., Borcard, D., Carvalho, G., Chirico, M., De Caceres, M., Durand, S., Evangelista, H.B.A., FitzJohn, R., Friendly, M., Furneaux, B., Hannigan, G., Hill, M.O., Lahti, L., McGlinn, D., Ouellette, M.-H., Ribeiro Cunha, E., Smith, T., Stier, A., Ter Braak, C.J.F. &amp; Weedon, J. (2022). </w:t>
      </w:r>
      <w:r>
        <w:rPr>
          <w:i/>
          <w:iCs/>
        </w:rPr>
        <w:t>Vegan: Community ecology package</w:t>
      </w:r>
      <w:r>
        <w:rPr/>
        <w:t xml:space="preserve">. Retrieved from </w:t>
      </w:r>
      <w:hyperlink r:id="rId54">
        <w:r>
          <w:rPr>
            <w:rStyle w:val="InternetLink"/>
          </w:rPr>
          <w:t>https://CRAN.R-project.org/package=vegan</w:t>
        </w:r>
      </w:hyperlink>
      <w:bookmarkEnd w:id="151"/>
    </w:p>
    <w:p>
      <w:pPr>
        <w:pStyle w:val="Bibliography"/>
        <w:rPr/>
      </w:pPr>
      <w:bookmarkStart w:id="152" w:name="ref-oliver2009cryptic"/>
      <w:r>
        <w:rPr/>
        <w:t xml:space="preserve">Oliver, P.M., Adams, M., Lee, M.S., Hutchinson, M.N. &amp; Doughty, P. (2009). Cryptic diversity in vertebrates: Molecular data double estimates of species diversity in a radiation of australian lizards (diplodactylus, gekkota). </w:t>
      </w:r>
      <w:r>
        <w:rPr>
          <w:i/>
          <w:iCs/>
        </w:rPr>
        <w:t>Proceedings of the Royal Society B: Biological Sciences</w:t>
      </w:r>
      <w:r>
        <w:rPr/>
        <w:t xml:space="preserve">, </w:t>
      </w:r>
      <w:r>
        <w:rPr>
          <w:b/>
          <w:bCs/>
        </w:rPr>
        <w:t>276</w:t>
      </w:r>
      <w:r>
        <w:rPr/>
        <w:t>, 2001–2007.</w:t>
      </w:r>
      <w:bookmarkEnd w:id="152"/>
    </w:p>
    <w:p>
      <w:pPr>
        <w:pStyle w:val="Bibliography"/>
        <w:rPr/>
      </w:pPr>
      <w:bookmarkStart w:id="153" w:name="ref-omernik1987ecoregions"/>
      <w:r>
        <w:rPr/>
        <w:t xml:space="preserve">Omernik, J.M. (1987). Ecoregions of the conterminous united states. </w:t>
      </w:r>
      <w:r>
        <w:rPr>
          <w:i/>
          <w:iCs/>
        </w:rPr>
        <w:t>Annals of the Association of American geographers</w:t>
      </w:r>
      <w:r>
        <w:rPr/>
        <w:t xml:space="preserve">, </w:t>
      </w:r>
      <w:r>
        <w:rPr>
          <w:b/>
          <w:bCs/>
        </w:rPr>
        <w:t>77</w:t>
      </w:r>
      <w:r>
        <w:rPr/>
        <w:t>, 118–125.</w:t>
      </w:r>
      <w:bookmarkEnd w:id="153"/>
    </w:p>
    <w:p>
      <w:pPr>
        <w:pStyle w:val="Bibliography"/>
        <w:rPr/>
      </w:pPr>
      <w:bookmarkStart w:id="154" w:name="ref-ottenlips2021resolving"/>
      <w:r>
        <w:rPr/>
        <w:t xml:space="preserve">Ottenlips, M.V., Mansfield, D.H., Buerki, S., Feist, M.A.E., Downie, S.R., Dodsworth, S., Forest, F., Plunkett, G.M. &amp; Smith, J.F. (2021). Resolving species boundaries in a recent radiation with the Angiosperms353 probe set: The lomatium packardiae/l. Anomalum clade of the l. Triternatum (apiaceae) complex. </w:t>
      </w:r>
      <w:r>
        <w:rPr>
          <w:i/>
          <w:iCs/>
        </w:rPr>
        <w:t>American journal of botany</w:t>
      </w:r>
      <w:r>
        <w:rPr/>
        <w:t xml:space="preserve">, </w:t>
      </w:r>
      <w:r>
        <w:rPr>
          <w:b/>
          <w:bCs/>
        </w:rPr>
        <w:t>108</w:t>
      </w:r>
      <w:r>
        <w:rPr/>
        <w:t>, 1217–1233.</w:t>
      </w:r>
      <w:bookmarkEnd w:id="154"/>
    </w:p>
    <w:p>
      <w:pPr>
        <w:pStyle w:val="Bibliography"/>
        <w:rPr/>
      </w:pPr>
      <w:bookmarkStart w:id="155" w:name="ref-park2022herbarium"/>
      <w:r>
        <w:rPr/>
        <w:t xml:space="preserve">Park, D.S., Lyra, G.M., Ellison, A.M., Maruyama, R.K.B., Torquato, D. dos R., Asprino, R.C., Cook, B.I. &amp; Davis, C.C. (2022). Herbarium records provide reliable phenology estimates in the understudied tropics. </w:t>
      </w:r>
      <w:r>
        <w:rPr>
          <w:i/>
          <w:iCs/>
        </w:rPr>
        <w:t>Journal of Ecology</w:t>
      </w:r>
      <w:r>
        <w:rPr/>
        <w:t>.</w:t>
      </w:r>
      <w:bookmarkEnd w:id="155"/>
    </w:p>
    <w:p>
      <w:pPr>
        <w:pStyle w:val="Bibliography"/>
        <w:rPr/>
      </w:pPr>
      <w:bookmarkStart w:id="156" w:name="ref-pearse2017statistical"/>
      <w:r>
        <w:rPr/>
        <w:t xml:space="preserve">Pearse, W.D., Davis, C.C., Inouye, D.W., Primack, R.B. &amp; Davies, T.J. (2017). A statistical estimator for determining the limits of contemporary and historic phenology. </w:t>
      </w:r>
      <w:r>
        <w:rPr>
          <w:i/>
          <w:iCs/>
        </w:rPr>
        <w:t>Nature Ecology &amp; Evolution</w:t>
      </w:r>
      <w:r>
        <w:rPr/>
        <w:t xml:space="preserve">, </w:t>
      </w:r>
      <w:r>
        <w:rPr>
          <w:b/>
          <w:bCs/>
        </w:rPr>
        <w:t>1</w:t>
      </w:r>
      <w:r>
        <w:rPr/>
        <w:t>, 1876–1882.</w:t>
      </w:r>
      <w:bookmarkEnd w:id="156"/>
    </w:p>
    <w:p>
      <w:pPr>
        <w:pStyle w:val="Bibliography"/>
        <w:rPr/>
      </w:pPr>
      <w:bookmarkStart w:id="157" w:name="ref-peel2019semi"/>
      <w:r>
        <w:rPr/>
        <w:t xml:space="preserve">Peel, N., Dicks, L.V., Clark, M.D., Heavens, D., Percival-Alwyn, L., Cooper, C., Davies, R.G., Leggett, R.M. &amp; Yu, D.W. (2019). Semi-quantitative characterisation of mixed pollen samples using MinION sequencing and reverse metagenomics (RevMet). </w:t>
      </w:r>
      <w:r>
        <w:rPr>
          <w:i/>
          <w:iCs/>
        </w:rPr>
        <w:t>Methods in Ecology and Evolution</w:t>
      </w:r>
      <w:r>
        <w:rPr/>
        <w:t xml:space="preserve">, </w:t>
      </w:r>
      <w:r>
        <w:rPr>
          <w:b/>
          <w:bCs/>
        </w:rPr>
        <w:t>10</w:t>
      </w:r>
      <w:r>
        <w:rPr/>
        <w:t>, 1690–1701.</w:t>
      </w:r>
      <w:bookmarkEnd w:id="157"/>
    </w:p>
    <w:p>
      <w:pPr>
        <w:pStyle w:val="Bibliography"/>
        <w:rPr/>
      </w:pPr>
      <w:bookmarkStart w:id="158" w:name="ref-pepin2022climate"/>
      <w:r>
        <w:rPr/>
        <w:t xml:space="preserve">Pepin, N., Arnone, E., Gobiet, A., Haslinger, K., Kotlarski, S., Notarnicola, C., Palazzi, E., Seibert, P., Serafin, S., Schöner, W. &amp; others. (2022). Climate changes and their elevational patterns in the mountains of the world. </w:t>
      </w:r>
      <w:r>
        <w:rPr>
          <w:i/>
          <w:iCs/>
        </w:rPr>
        <w:t>Reviews of geophysics</w:t>
      </w:r>
      <w:r>
        <w:rPr/>
        <w:t xml:space="preserve">, </w:t>
      </w:r>
      <w:r>
        <w:rPr>
          <w:b/>
          <w:bCs/>
        </w:rPr>
        <w:t>60</w:t>
      </w:r>
      <w:r>
        <w:rPr/>
        <w:t>, e2020RG000730.</w:t>
      </w:r>
      <w:bookmarkEnd w:id="158"/>
    </w:p>
    <w:p>
      <w:pPr>
        <w:pStyle w:val="Bibliography"/>
        <w:rPr/>
      </w:pPr>
      <w:bookmarkStart w:id="159" w:name="ref-pinto2021predicting"/>
      <w:r>
        <w:rPr/>
        <w:t xml:space="preserve">Pinto-Ledezma, J.N. &amp; Cavender-Bares, J. (2021). Predicting species distributions and community composition using satellite remote sensing predictors. </w:t>
      </w:r>
      <w:r>
        <w:rPr>
          <w:i/>
          <w:iCs/>
        </w:rPr>
        <w:t>Scientific Reports</w:t>
      </w:r>
      <w:r>
        <w:rPr/>
        <w:t xml:space="preserve">, </w:t>
      </w:r>
      <w:r>
        <w:rPr>
          <w:b/>
          <w:bCs/>
        </w:rPr>
        <w:t>11</w:t>
      </w:r>
      <w:r>
        <w:rPr/>
        <w:t>, 1–12.</w:t>
      </w:r>
      <w:bookmarkEnd w:id="159"/>
    </w:p>
    <w:p>
      <w:pPr>
        <w:pStyle w:val="Bibliography"/>
        <w:rPr/>
      </w:pPr>
      <w:bookmarkStart w:id="160" w:name="ref-pornon2017dna"/>
      <w:r>
        <w:rPr/>
        <w:t xml:space="preserve">Pornon, A., Andalo, C., Burrus, M. &amp; Escaravage, N. (2017). DNA metabarcoding data unveils invisible pollination networks. </w:t>
      </w:r>
      <w:r>
        <w:rPr>
          <w:i/>
          <w:iCs/>
        </w:rPr>
        <w:t>Scientific Reports</w:t>
      </w:r>
      <w:r>
        <w:rPr/>
        <w:t xml:space="preserve">, </w:t>
      </w:r>
      <w:r>
        <w:rPr>
          <w:b/>
          <w:bCs/>
        </w:rPr>
        <w:t>7</w:t>
      </w:r>
      <w:r>
        <w:rPr/>
        <w:t>, 1–11.</w:t>
      </w:r>
      <w:bookmarkEnd w:id="160"/>
    </w:p>
    <w:p>
      <w:pPr>
        <w:pStyle w:val="Bibliography"/>
        <w:rPr/>
      </w:pPr>
      <w:bookmarkStart w:id="161" w:name="ref-prather2004implications"/>
      <w:r>
        <w:rPr/>
        <w:t xml:space="preserve">Prather, L.A., Alvarez-Fuentes, O., Mayfield, M.H. &amp; Ferguson, C.J. (2004a). Implications of the decline in plant collecting for systematic and floristic research. </w:t>
      </w:r>
      <w:r>
        <w:rPr>
          <w:i/>
          <w:iCs/>
        </w:rPr>
        <w:t>Systematic Botany</w:t>
      </w:r>
      <w:r>
        <w:rPr/>
        <w:t xml:space="preserve">, </w:t>
      </w:r>
      <w:r>
        <w:rPr>
          <w:b/>
          <w:bCs/>
        </w:rPr>
        <w:t>29</w:t>
      </w:r>
      <w:r>
        <w:rPr/>
        <w:t>, 216–220.</w:t>
      </w:r>
      <w:bookmarkEnd w:id="161"/>
    </w:p>
    <w:p>
      <w:pPr>
        <w:pStyle w:val="Bibliography"/>
        <w:rPr/>
      </w:pPr>
      <w:bookmarkStart w:id="162" w:name="ref-prather2004decline"/>
      <w:r>
        <w:rPr/>
        <w:t xml:space="preserve">Prather, L.A., Alvarez-Fuentes, O., Mayfield, M.H. &amp; Ferguson, C.J. (2004b). The decline of plant collecting in the united states: A threat to the infrastructure of biodiversity studies. </w:t>
      </w:r>
      <w:r>
        <w:rPr>
          <w:i/>
          <w:iCs/>
        </w:rPr>
        <w:t>Systematic Botany</w:t>
      </w:r>
      <w:r>
        <w:rPr/>
        <w:t xml:space="preserve">, </w:t>
      </w:r>
      <w:r>
        <w:rPr>
          <w:b/>
          <w:bCs/>
        </w:rPr>
        <w:t>29</w:t>
      </w:r>
      <w:r>
        <w:rPr/>
        <w:t>, 15–28.</w:t>
      </w:r>
      <w:bookmarkEnd w:id="162"/>
    </w:p>
    <w:p>
      <w:pPr>
        <w:pStyle w:val="Bibliography"/>
        <w:rPr/>
      </w:pPr>
      <w:bookmarkStart w:id="163" w:name="ref-prim1957minimum"/>
      <w:r>
        <w:rPr/>
        <w:t xml:space="preserve">Prim, R.C. (1957). Shortest connection networks and some generalisations. </w:t>
      </w:r>
      <w:r>
        <w:rPr>
          <w:i/>
          <w:iCs/>
        </w:rPr>
        <w:t>Bell System Technical Journal</w:t>
      </w:r>
      <w:r>
        <w:rPr/>
        <w:t xml:space="preserve">, </w:t>
      </w:r>
      <w:r>
        <w:rPr>
          <w:b/>
          <w:bCs/>
        </w:rPr>
        <w:t>36</w:t>
      </w:r>
      <w:r>
        <w:rPr/>
        <w:t>, 1389–1401.</w:t>
      </w:r>
      <w:bookmarkEnd w:id="163"/>
    </w:p>
    <w:p>
      <w:pPr>
        <w:pStyle w:val="Bibliography"/>
        <w:rPr/>
      </w:pPr>
      <w:bookmarkStart w:id="164" w:name="ref-pusalkar2015taxonomic"/>
      <w:r>
        <w:rPr/>
        <w:t xml:space="preserve">Pusalkar, P.K. &amp; Singh, D.K. (2015). Taxonomic rearrangement of arenaria (caryophyllaceae) in indian western himalaya. </w:t>
      </w:r>
      <w:r>
        <w:rPr>
          <w:i/>
          <w:iCs/>
        </w:rPr>
        <w:t>Journal of Japanese Botany</w:t>
      </w:r>
      <w:r>
        <w:rPr/>
        <w:t xml:space="preserve">, </w:t>
      </w:r>
      <w:r>
        <w:rPr>
          <w:b/>
          <w:bCs/>
        </w:rPr>
        <w:t>90</w:t>
      </w:r>
      <w:r>
        <w:rPr/>
        <w:t>, 77–91.</w:t>
      </w:r>
      <w:bookmarkEnd w:id="164"/>
    </w:p>
    <w:p>
      <w:pPr>
        <w:pStyle w:val="Bibliography"/>
        <w:rPr/>
      </w:pPr>
      <w:bookmarkStart w:id="165" w:name="ref-pyke1982local"/>
      <w:r>
        <w:rPr/>
        <w:t xml:space="preserve">Pyke, G.H. (1982). Local geographic distributions of bumblebees near crested butte, colorado: Competition and community structure. </w:t>
      </w:r>
      <w:r>
        <w:rPr>
          <w:i/>
          <w:iCs/>
        </w:rPr>
        <w:t>Ecology</w:t>
      </w:r>
      <w:r>
        <w:rPr/>
        <w:t xml:space="preserve">, </w:t>
      </w:r>
      <w:r>
        <w:rPr>
          <w:b/>
          <w:bCs/>
        </w:rPr>
        <w:t>63</w:t>
      </w:r>
      <w:r>
        <w:rPr/>
        <w:t>, 555–573.</w:t>
      </w:r>
      <w:bookmarkEnd w:id="165"/>
    </w:p>
    <w:p>
      <w:pPr>
        <w:pStyle w:val="Bibliography"/>
        <w:rPr/>
      </w:pPr>
      <w:bookmarkStart w:id="166" w:name="ref-qiao2015no"/>
      <w:r>
        <w:rPr/>
        <w:t xml:space="preserve">Qiao, H., Soberon, J. &amp; Peterson, A.T. (2015). No silver bullets in correlative ecological niche modelling: Insights from testing among many potential algorithms for niche estimation. </w:t>
      </w:r>
      <w:r>
        <w:rPr>
          <w:i/>
          <w:iCs/>
        </w:rPr>
        <w:t>Methods in Ecology and Evolution</w:t>
      </w:r>
      <w:r>
        <w:rPr/>
        <w:t xml:space="preserve">, </w:t>
      </w:r>
      <w:r>
        <w:rPr>
          <w:b/>
          <w:bCs/>
        </w:rPr>
        <w:t>6</w:t>
      </w:r>
      <w:r>
        <w:rPr/>
        <w:t>, 1126–1136.</w:t>
      </w:r>
      <w:bookmarkEnd w:id="166"/>
    </w:p>
    <w:p>
      <w:pPr>
        <w:pStyle w:val="Bibliography"/>
        <w:rPr/>
      </w:pPr>
      <w:bookmarkStart w:id="167" w:name="ref-rabeler2016new"/>
      <w:r>
        <w:rPr/>
        <w:t xml:space="preserve">Rabeler, R.K. &amp; Wagner, W.L. (2016). New combinations in odontostemma (caryophyllaceae). </w:t>
      </w:r>
      <w:r>
        <w:rPr>
          <w:i/>
          <w:iCs/>
        </w:rPr>
        <w:t>PhytoKeys</w:t>
      </w:r>
      <w:r>
        <w:rPr/>
        <w:t>, 77.</w:t>
      </w:r>
      <w:bookmarkEnd w:id="167"/>
    </w:p>
    <w:p>
      <w:pPr>
        <w:pStyle w:val="Bibliography"/>
        <w:rPr/>
      </w:pPr>
      <w:bookmarkStart w:id="168" w:name="ref-ralphs1988herbicide"/>
      <w:r>
        <w:rPr/>
        <w:t xml:space="preserve">Ralphs, M.H. &amp; Ueckert, D.N. (1988). Herbicide control of locoweeds: A review. </w:t>
      </w:r>
      <w:r>
        <w:rPr>
          <w:i/>
          <w:iCs/>
        </w:rPr>
        <w:t>Weed Technology</w:t>
      </w:r>
      <w:r>
        <w:rPr/>
        <w:t xml:space="preserve">, </w:t>
      </w:r>
      <w:r>
        <w:rPr>
          <w:b/>
          <w:bCs/>
        </w:rPr>
        <w:t>2</w:t>
      </w:r>
      <w:r>
        <w:rPr/>
        <w:t>, 460–465.</w:t>
      </w:r>
      <w:bookmarkEnd w:id="168"/>
    </w:p>
    <w:p>
      <w:pPr>
        <w:pStyle w:val="Bibliography"/>
        <w:rPr/>
      </w:pPr>
      <w:bookmarkStart w:id="169" w:name="ref-ralphs2003mechanism"/>
      <w:r>
        <w:rPr/>
        <w:t xml:space="preserve">Ralphs, M., Woolsey, L. &amp; Bowns, J. (2003). Mechanism by which ammonium fertilizers kill tall larkspur. </w:t>
      </w:r>
      <w:r>
        <w:rPr>
          <w:i/>
          <w:iCs/>
        </w:rPr>
        <w:t>Rangeland Ecology &amp; Management/Journal of Range Management Archives</w:t>
      </w:r>
      <w:r>
        <w:rPr/>
        <w:t xml:space="preserve">, </w:t>
      </w:r>
      <w:r>
        <w:rPr>
          <w:b/>
          <w:bCs/>
        </w:rPr>
        <w:t>56</w:t>
      </w:r>
      <w:r>
        <w:rPr/>
        <w:t>, 524–528.</w:t>
      </w:r>
      <w:bookmarkEnd w:id="169"/>
    </w:p>
    <w:p>
      <w:pPr>
        <w:pStyle w:val="Bibliography"/>
        <w:rPr/>
      </w:pPr>
      <w:bookmarkStart w:id="170" w:name="ref-robinson2014earthenv"/>
      <w:r>
        <w:rPr/>
        <w:t xml:space="preserve">Robinson, N., Regetz, J. &amp; Guralnick, R.P. (2014). EarthEnv-DEM90: A nearly-global, void-free, multi-scale smoothed, 90m digital elevation model from fused ASTER and SRTM data. </w:t>
      </w:r>
      <w:r>
        <w:rPr>
          <w:i/>
          <w:iCs/>
        </w:rPr>
        <w:t>ISPRS Journal of Photogrammetry and Remote Sensing</w:t>
      </w:r>
      <w:r>
        <w:rPr/>
        <w:t xml:space="preserve">, </w:t>
      </w:r>
      <w:r>
        <w:rPr>
          <w:b/>
          <w:bCs/>
        </w:rPr>
        <w:t>87</w:t>
      </w:r>
      <w:r>
        <w:rPr/>
        <w:t>, 57–67.</w:t>
      </w:r>
      <w:bookmarkEnd w:id="170"/>
    </w:p>
    <w:p>
      <w:pPr>
        <w:pStyle w:val="Bibliography"/>
        <w:rPr/>
      </w:pPr>
      <w:bookmarkStart w:id="171" w:name="ref-ruppert2019past"/>
      <w:r>
        <w:rPr/>
        <w:t xml:space="preserve">Ruppert, K.M., Kline, R.J. &amp; Rahman, M.S. (2019). Past, present, and future perspectives of environmental DNA (eDNA) metabarcoding: A systematic review in methods, monitoring, and applications of global eDNA. </w:t>
      </w:r>
      <w:r>
        <w:rPr>
          <w:i/>
          <w:iCs/>
        </w:rPr>
        <w:t>Global Ecology and Conservation</w:t>
      </w:r>
      <w:r>
        <w:rPr/>
        <w:t xml:space="preserve">, </w:t>
      </w:r>
      <w:r>
        <w:rPr>
          <w:b/>
          <w:bCs/>
        </w:rPr>
        <w:t>17</w:t>
      </w:r>
      <w:r>
        <w:rPr/>
        <w:t>, e00547.</w:t>
      </w:r>
      <w:bookmarkEnd w:id="171"/>
    </w:p>
    <w:p>
      <w:pPr>
        <w:pStyle w:val="Bibliography"/>
        <w:rPr/>
      </w:pPr>
      <w:bookmarkStart w:id="172" w:name="ref-sadeghian2015molecular"/>
      <w:r>
        <w:rPr/>
        <w:t xml:space="preserve">Sadeghian, S., Zarre, S., Rabeler, R.K. &amp; Heubl, G. (2015). Molecular phylogenetic analysis of arenaria (caryophyllaceae: Tribe arenarieae) and its allies inferred from nuclear DNA internal transcribed spacer and plastid DNA rps16 sequences. </w:t>
      </w:r>
      <w:r>
        <w:rPr>
          <w:i/>
          <w:iCs/>
        </w:rPr>
        <w:t>Botanical Journal of the Linnean Society</w:t>
      </w:r>
      <w:r>
        <w:rPr/>
        <w:t xml:space="preserve">, </w:t>
      </w:r>
      <w:r>
        <w:rPr>
          <w:b/>
          <w:bCs/>
        </w:rPr>
        <w:t>178</w:t>
      </w:r>
      <w:r>
        <w:rPr/>
        <w:t>, 648–669.</w:t>
      </w:r>
      <w:bookmarkEnd w:id="172"/>
    </w:p>
    <w:p>
      <w:pPr>
        <w:pStyle w:val="Bibliography"/>
        <w:rPr/>
      </w:pPr>
      <w:bookmarkStart w:id="173" w:name="ref-sarro2022bumble"/>
      <w:r>
        <w:rPr/>
        <w:t xml:space="preserve">Sarro, E., Tripodi, A. &amp; Woodard, S.H. (2022). Bumble bee (bombus vosnesenskii) queen nest searching occurs independent of ovary developmental status. </w:t>
      </w:r>
      <w:r>
        <w:rPr>
          <w:i/>
          <w:iCs/>
        </w:rPr>
        <w:t>Integrative Organismal Biology</w:t>
      </w:r>
      <w:r>
        <w:rPr/>
        <w:t xml:space="preserve">, </w:t>
      </w:r>
      <w:r>
        <w:rPr>
          <w:b/>
          <w:bCs/>
        </w:rPr>
        <w:t>4</w:t>
      </w:r>
      <w:r>
        <w:rPr/>
        <w:t>, obac007.</w:t>
      </w:r>
      <w:bookmarkEnd w:id="173"/>
    </w:p>
    <w:p>
      <w:pPr>
        <w:pStyle w:val="Bibliography"/>
        <w:rPr/>
      </w:pPr>
      <w:bookmarkStart w:id="174" w:name="ref-schmitt2017ssdm"/>
      <w:r>
        <w:rPr/>
        <w:t xml:space="preserve">Schmitt, S., Pouteau, R., Justeau, D., De Boissieu, F. &amp; Birnbaum, P. (2017). Ssdm: An r package to predict distribution of species richness and composition based on stacked species distribution models. </w:t>
      </w:r>
      <w:r>
        <w:rPr>
          <w:i/>
          <w:iCs/>
        </w:rPr>
        <w:t>Methods in Ecology and Evolution</w:t>
      </w:r>
      <w:r>
        <w:rPr/>
        <w:t xml:space="preserve">, </w:t>
      </w:r>
      <w:r>
        <w:rPr>
          <w:b/>
          <w:bCs/>
        </w:rPr>
        <w:t>8</w:t>
      </w:r>
      <w:r>
        <w:rPr/>
        <w:t>, 1795–1803.</w:t>
      </w:r>
      <w:bookmarkEnd w:id="174"/>
    </w:p>
    <w:p>
      <w:pPr>
        <w:pStyle w:val="Bibliography"/>
        <w:rPr/>
      </w:pPr>
      <w:bookmarkStart w:id="175" w:name="ref-sennikov2017phylogenetic"/>
      <w:r>
        <w:rPr/>
        <w:t>Sennikov, A.N. &amp; Kurtto, A. (2017). A phylogenetic checklist of sorbus sl (rosaceae) in europe.</w:t>
      </w:r>
      <w:bookmarkEnd w:id="175"/>
    </w:p>
    <w:p>
      <w:pPr>
        <w:pStyle w:val="Bibliography"/>
        <w:rPr/>
      </w:pPr>
      <w:bookmarkStart w:id="176" w:name="ref-sickel2015increased"/>
      <w:r>
        <w:rPr/>
        <w:t xml:space="preserve">Sickel, W., Ankenbrand, M.J., Grimmer, G., Holzschuh, A., Hartel, S., Lanzen, J., Steffan-Dewenter, I. &amp; Keller, A. (2015). Increased efficiency in identifying mixed pollen samples by meta-barcoding with a dual-indexing approach. </w:t>
      </w:r>
      <w:r>
        <w:rPr>
          <w:i/>
          <w:iCs/>
        </w:rPr>
        <w:t>BMC ecology</w:t>
      </w:r>
      <w:r>
        <w:rPr/>
        <w:t xml:space="preserve">, </w:t>
      </w:r>
      <w:r>
        <w:rPr>
          <w:b/>
          <w:bCs/>
        </w:rPr>
        <w:t>15</w:t>
      </w:r>
      <w:r>
        <w:rPr/>
        <w:t>, 1–9.</w:t>
      </w:r>
      <w:bookmarkEnd w:id="176"/>
    </w:p>
    <w:p>
      <w:pPr>
        <w:pStyle w:val="Bibliography"/>
        <w:rPr/>
      </w:pPr>
      <w:bookmarkStart w:id="177" w:name="ref-slimp2021potential"/>
      <w:r>
        <w:rPr/>
        <w:t xml:space="preserve">Slimp, M., Williams, L.D., Hale, H. &amp; Johnson, M.G. (2021). On the potential of Angiosperms353 for population genomic studies. </w:t>
      </w:r>
      <w:r>
        <w:rPr>
          <w:i/>
          <w:iCs/>
        </w:rPr>
        <w:t>Applications in Plant Sciences</w:t>
      </w:r>
      <w:r>
        <w:rPr/>
        <w:t xml:space="preserve">, </w:t>
      </w:r>
      <w:r>
        <w:rPr>
          <w:b/>
          <w:bCs/>
        </w:rPr>
        <w:t>9</w:t>
      </w:r>
      <w:r>
        <w:rPr/>
        <w:t>.</w:t>
      </w:r>
      <w:bookmarkEnd w:id="177"/>
    </w:p>
    <w:p>
      <w:pPr>
        <w:pStyle w:val="Bibliography"/>
        <w:rPr/>
      </w:pPr>
      <w:bookmarkStart w:id="178" w:name="ref-smith2018constructing"/>
      <w:r>
        <w:rPr/>
        <w:t xml:space="preserve">Smith, S.A. &amp; Brown, J.W. (2018). Constructing a broadly inclusive seed plant phylogeny. </w:t>
      </w:r>
      <w:r>
        <w:rPr>
          <w:i/>
          <w:iCs/>
        </w:rPr>
        <w:t>American journal of botany</w:t>
      </w:r>
      <w:r>
        <w:rPr/>
        <w:t xml:space="preserve">, </w:t>
      </w:r>
      <w:r>
        <w:rPr>
          <w:b/>
          <w:bCs/>
        </w:rPr>
        <w:t>105</w:t>
      </w:r>
      <w:r>
        <w:rPr/>
        <w:t>, 302–314.</w:t>
      </w:r>
      <w:bookmarkEnd w:id="178"/>
    </w:p>
    <w:p>
      <w:pPr>
        <w:pStyle w:val="Bibliography"/>
        <w:rPr/>
      </w:pPr>
      <w:bookmarkStart w:id="179" w:name="ref-sork2018genomic"/>
      <w:r>
        <w:rPr/>
        <w:t xml:space="preserve">Sork, V.L. (2018). Genomic studies of local adaptation in natural plant populations. </w:t>
      </w:r>
      <w:r>
        <w:rPr>
          <w:i/>
          <w:iCs/>
        </w:rPr>
        <w:t>Journal of Heredity</w:t>
      </w:r>
      <w:r>
        <w:rPr/>
        <w:t xml:space="preserve">, </w:t>
      </w:r>
      <w:r>
        <w:rPr>
          <w:b/>
          <w:bCs/>
        </w:rPr>
        <w:t>109</w:t>
      </w:r>
      <w:r>
        <w:rPr/>
        <w:t>, 3–15.</w:t>
      </w:r>
      <w:bookmarkEnd w:id="179"/>
    </w:p>
    <w:p>
      <w:pPr>
        <w:pStyle w:val="Bibliography"/>
        <w:rPr/>
      </w:pPr>
      <w:bookmarkStart w:id="180" w:name="ref-stevens2018atmospheric"/>
      <w:r>
        <w:rPr/>
        <w:t xml:space="preserve">Stevens, C.J., David, T.I. &amp; Storkey, J. (2018). Atmospheric nitrogen deposition in terrestrial ecosystems: Its impact on plant communities and consequences across trophic levels. </w:t>
      </w:r>
      <w:r>
        <w:rPr>
          <w:i/>
          <w:iCs/>
        </w:rPr>
        <w:t>Functional Ecology</w:t>
      </w:r>
      <w:r>
        <w:rPr/>
        <w:t xml:space="preserve">, </w:t>
      </w:r>
      <w:r>
        <w:rPr>
          <w:b/>
          <w:bCs/>
        </w:rPr>
        <w:t>32</w:t>
      </w:r>
      <w:r>
        <w:rPr/>
        <w:t>, 1757–1769.</w:t>
      </w:r>
      <w:bookmarkEnd w:id="180"/>
    </w:p>
    <w:p>
      <w:pPr>
        <w:pStyle w:val="Bibliography"/>
        <w:rPr/>
      </w:pPr>
      <w:bookmarkStart w:id="181" w:name="ref-stroud2022botanical"/>
      <w:r>
        <w:rPr/>
        <w:t xml:space="preserve">Stroud, S., Fennell, M., Mitchley, J., Lydon, S., Peacock, J. &amp; Bacon, K.L. (2022). The botanical education extinction and the fall of plant awareness. </w:t>
      </w:r>
      <w:r>
        <w:rPr>
          <w:i/>
          <w:iCs/>
        </w:rPr>
        <w:t>Ecology and Evolution</w:t>
      </w:r>
      <w:r>
        <w:rPr/>
        <w:t xml:space="preserve">, </w:t>
      </w:r>
      <w:r>
        <w:rPr>
          <w:b/>
          <w:bCs/>
        </w:rPr>
        <w:t>12</w:t>
      </w:r>
      <w:r>
        <w:rPr/>
        <w:t>, e9019.</w:t>
      </w:r>
      <w:bookmarkEnd w:id="181"/>
    </w:p>
    <w:p>
      <w:pPr>
        <w:pStyle w:val="Bibliography"/>
        <w:rPr/>
      </w:pPr>
      <w:bookmarkStart w:id="182" w:name="ref-suchan2019pollen"/>
      <w:r>
        <w:rPr/>
        <w:t xml:space="preserve">Suchan, T., Talavera, G., Saez, L., Ronikier, M. &amp; Vila, R. (2019). Pollen metabarcoding as a tool for tracking long-distance insect migrations. </w:t>
      </w:r>
      <w:r>
        <w:rPr>
          <w:i/>
          <w:iCs/>
        </w:rPr>
        <w:t>Molecular Ecology Resources</w:t>
      </w:r>
      <w:r>
        <w:rPr/>
        <w:t xml:space="preserve">, </w:t>
      </w:r>
      <w:r>
        <w:rPr>
          <w:b/>
          <w:bCs/>
        </w:rPr>
        <w:t>19</w:t>
      </w:r>
      <w:r>
        <w:rPr/>
        <w:t>, 149–162.</w:t>
      </w:r>
      <w:bookmarkEnd w:id="182"/>
    </w:p>
    <w:p>
      <w:pPr>
        <w:pStyle w:val="Bibliography"/>
        <w:rPr/>
      </w:pPr>
      <w:bookmarkStart w:id="183" w:name="ref-tange_2022_6377950"/>
      <w:r>
        <w:rPr/>
        <w:t xml:space="preserve">Tange, O. (2021). GNU parallel 20220322 (savannah). Retrieved from </w:t>
      </w:r>
      <w:hyperlink r:id="rId55">
        <w:r>
          <w:rPr>
            <w:rStyle w:val="InternetLink"/>
          </w:rPr>
          <w:t>https://doi.org/10.5281/zenodo.6377950</w:t>
        </w:r>
      </w:hyperlink>
      <w:bookmarkEnd w:id="183"/>
    </w:p>
    <w:p>
      <w:pPr>
        <w:pStyle w:val="Bibliography"/>
        <w:rPr/>
      </w:pPr>
      <w:bookmarkStart w:id="184" w:name="ref-tran2019cloud"/>
      <w:r>
        <w:rPr/>
        <w:t xml:space="preserve">Tran, H., Nguyen, P., Ombadi, M., Hsu, K., Sorooshian, S. &amp; Qing, X. (2019). A cloud-free MODIS snow cover dataset for the contiguous united states from 2000 to 2017. </w:t>
      </w:r>
      <w:r>
        <w:rPr>
          <w:i/>
          <w:iCs/>
        </w:rPr>
        <w:t>Scientific data</w:t>
      </w:r>
      <w:r>
        <w:rPr/>
        <w:t xml:space="preserve">, </w:t>
      </w:r>
      <w:r>
        <w:rPr>
          <w:b/>
          <w:bCs/>
        </w:rPr>
        <w:t>6</w:t>
      </w:r>
      <w:r>
        <w:rPr/>
        <w:t>, 1–13.</w:t>
      </w:r>
      <w:bookmarkEnd w:id="184"/>
    </w:p>
    <w:p>
      <w:pPr>
        <w:pStyle w:val="Bibliography"/>
        <w:rPr/>
      </w:pPr>
      <w:bookmarkStart w:id="185" w:name="ref-wang2016locally"/>
      <w:r>
        <w:rPr/>
        <w:t xml:space="preserve">Wang, T., Hamann, A., Spittlehouse, D. &amp; Carroll, C. (2016). Locally downscaled and spatially customizable climate data for historical and future periods for north america. </w:t>
      </w:r>
      <w:r>
        <w:rPr>
          <w:i/>
          <w:iCs/>
        </w:rPr>
        <w:t>PloS one</w:t>
      </w:r>
      <w:r>
        <w:rPr/>
        <w:t xml:space="preserve">, </w:t>
      </w:r>
      <w:r>
        <w:rPr>
          <w:b/>
          <w:bCs/>
        </w:rPr>
        <w:t>11</w:t>
      </w:r>
      <w:r>
        <w:rPr/>
        <w:t>, e0156720.</w:t>
      </w:r>
      <w:bookmarkEnd w:id="185"/>
    </w:p>
    <w:p>
      <w:pPr>
        <w:pStyle w:val="Bibliography"/>
        <w:rPr/>
      </w:pPr>
      <w:bookmarkStart w:id="186" w:name="ref-weber1998new"/>
      <w:r>
        <w:rPr/>
        <w:t xml:space="preserve">Weber, W. (1998). New names and combinations in asteraceae: Heliantheae-ecliptinae. </w:t>
      </w:r>
      <w:r>
        <w:rPr>
          <w:i/>
          <w:iCs/>
        </w:rPr>
        <w:t>Phytologia</w:t>
      </w:r>
      <w:r>
        <w:rPr/>
        <w:t xml:space="preserve">, </w:t>
      </w:r>
      <w:r>
        <w:rPr>
          <w:b/>
          <w:bCs/>
        </w:rPr>
        <w:t>85</w:t>
      </w:r>
      <w:r>
        <w:rPr/>
        <w:t>, 19–21.</w:t>
      </w:r>
      <w:bookmarkEnd w:id="186"/>
    </w:p>
    <w:p>
      <w:pPr>
        <w:pStyle w:val="Bibliography"/>
        <w:rPr/>
      </w:pPr>
      <w:bookmarkStart w:id="187" w:name="ref-wenzell2021incomplete"/>
      <w:r>
        <w:rPr/>
        <w:t xml:space="preserve">Wenzell, K.E., McDonnell, A.J., Wickett, N.J., Fant, J.B. &amp; Skogen, K.A. (2021). Incomplete reproductive isolation and low genetic differentiation despite floral divergence across varying geographic scales in castilleja. </w:t>
      </w:r>
      <w:r>
        <w:rPr>
          <w:i/>
          <w:iCs/>
        </w:rPr>
        <w:t>American Journal of Botany</w:t>
      </w:r>
      <w:r>
        <w:rPr/>
        <w:t xml:space="preserve">, </w:t>
      </w:r>
      <w:r>
        <w:rPr>
          <w:b/>
          <w:bCs/>
        </w:rPr>
        <w:t>108</w:t>
      </w:r>
      <w:r>
        <w:rPr/>
        <w:t>, 1270–1288.</w:t>
      </w:r>
      <w:bookmarkEnd w:id="187"/>
    </w:p>
    <w:p>
      <w:pPr>
        <w:pStyle w:val="Bibliography"/>
        <w:rPr/>
      </w:pPr>
      <w:bookmarkStart w:id="188" w:name="ref-wilkinson2021defining"/>
      <w:r>
        <w:rPr/>
        <w:t xml:space="preserve">Wilkinson, D.P., Golding, N., Guillera-Arroita, G., Tingley, R. &amp; McCarthy, M.A. (2021). Defining and evaluating predictions of joint species distribution models. </w:t>
      </w:r>
      <w:r>
        <w:rPr>
          <w:i/>
          <w:iCs/>
        </w:rPr>
        <w:t>Methods in Ecology and Evolution</w:t>
      </w:r>
      <w:r>
        <w:rPr/>
        <w:t xml:space="preserve">, </w:t>
      </w:r>
      <w:r>
        <w:rPr>
          <w:b/>
          <w:bCs/>
        </w:rPr>
        <w:t>12</w:t>
      </w:r>
      <w:r>
        <w:rPr/>
        <w:t>, 394–404.</w:t>
      </w:r>
      <w:bookmarkEnd w:id="188"/>
    </w:p>
    <w:p>
      <w:pPr>
        <w:pStyle w:val="Bibliography"/>
        <w:rPr/>
      </w:pPr>
      <w:bookmarkStart w:id="189" w:name="ref-williams1982distribution"/>
      <w:r>
        <w:rPr/>
        <w:t xml:space="preserve">Williams, P.H. (1982). The distribution and decline of british bumble bees (bombus latr.). </w:t>
      </w:r>
      <w:r>
        <w:rPr>
          <w:i/>
          <w:iCs/>
        </w:rPr>
        <w:t>Journal of Apicultural Research</w:t>
      </w:r>
      <w:r>
        <w:rPr/>
        <w:t xml:space="preserve">, </w:t>
      </w:r>
      <w:r>
        <w:rPr>
          <w:b/>
          <w:bCs/>
        </w:rPr>
        <w:t>21</w:t>
      </w:r>
      <w:r>
        <w:rPr/>
        <w:t xml:space="preserve">, 236–245. Retrieved from </w:t>
      </w:r>
      <w:hyperlink r:id="rId56">
        <w:r>
          <w:rPr>
            <w:rStyle w:val="InternetLink"/>
          </w:rPr>
          <w:t>https://doi.org/10.1080/00218839.1982.11100549</w:t>
        </w:r>
      </w:hyperlink>
      <w:bookmarkEnd w:id="189"/>
    </w:p>
    <w:p>
      <w:pPr>
        <w:pStyle w:val="Bibliography"/>
        <w:rPr/>
      </w:pPr>
      <w:bookmarkStart w:id="190" w:name="ref-wilson2016remotely"/>
      <w:r>
        <w:rPr/>
        <w:t xml:space="preserve">Wilson, A.M. &amp; Jetz, W. (2016). Remotely sensed high-resolution global cloud dynamics for predicting ecosystem and biodiversity distributions. </w:t>
      </w:r>
      <w:r>
        <w:rPr>
          <w:i/>
          <w:iCs/>
        </w:rPr>
        <w:t>PLoS biology</w:t>
      </w:r>
      <w:r>
        <w:rPr/>
        <w:t xml:space="preserve">, </w:t>
      </w:r>
      <w:r>
        <w:rPr>
          <w:b/>
          <w:bCs/>
        </w:rPr>
        <w:t>14</w:t>
      </w:r>
      <w:r>
        <w:rPr/>
        <w:t>, e1002415.</w:t>
      </w:r>
      <w:bookmarkEnd w:id="190"/>
    </w:p>
    <w:p>
      <w:pPr>
        <w:pStyle w:val="Bibliography"/>
        <w:rPr/>
      </w:pPr>
      <w:bookmarkStart w:id="191" w:name="ref-wood2019improved"/>
      <w:r>
        <w:rPr/>
        <w:t xml:space="preserve">Wood, D.E., Lu, J. &amp; Langmead, B. (2019). Improved metagenomic analysis with kraken 2. </w:t>
      </w:r>
      <w:r>
        <w:rPr>
          <w:i/>
          <w:iCs/>
        </w:rPr>
        <w:t>Genome biology</w:t>
      </w:r>
      <w:r>
        <w:rPr/>
        <w:t xml:space="preserve">, </w:t>
      </w:r>
      <w:r>
        <w:rPr>
          <w:b/>
          <w:bCs/>
        </w:rPr>
        <w:t>20</w:t>
      </w:r>
      <w:r>
        <w:rPr/>
        <w:t>, 1–13.</w:t>
      </w:r>
      <w:bookmarkEnd w:id="191"/>
    </w:p>
    <w:p>
      <w:pPr>
        <w:pStyle w:val="Bibliography"/>
        <w:rPr/>
      </w:pPr>
      <w:bookmarkStart w:id="192" w:name="ref-xie2015deciduous"/>
      <w:r>
        <w:rPr/>
        <w:t xml:space="preserve">Xie, Y., Wang, X. &amp; Silander Jr, J.A. (2015). Deciduous forest responses to temperature, precipitation, and drought imply complex climate change impacts. </w:t>
      </w:r>
      <w:r>
        <w:rPr>
          <w:i/>
          <w:iCs/>
        </w:rPr>
        <w:t>Proceedings of the National Academy of Sciences</w:t>
      </w:r>
      <w:r>
        <w:rPr/>
        <w:t xml:space="preserve">, </w:t>
      </w:r>
      <w:r>
        <w:rPr>
          <w:b/>
          <w:bCs/>
        </w:rPr>
        <w:t>112</w:t>
      </w:r>
      <w:r>
        <w:rPr/>
        <w:t>, 13585–13590.</w:t>
      </w:r>
      <w:bookmarkEnd w:id="192"/>
    </w:p>
    <w:p>
      <w:pPr>
        <w:pStyle w:val="Bibliography"/>
        <w:rPr/>
      </w:pPr>
      <w:bookmarkStart w:id="193" w:name="ref-xie2018predicting"/>
      <w:r>
        <w:rPr/>
        <w:t xml:space="preserve">Xie, Y., Wang, X., Wilson, A.M. &amp; Silander Jr, J.A. (2018). Predicting autumn phenology: How deciduous tree species respond to weather stressors. </w:t>
      </w:r>
      <w:r>
        <w:rPr>
          <w:i/>
          <w:iCs/>
        </w:rPr>
        <w:t>Agricultural and Forest Meteorology</w:t>
      </w:r>
      <w:r>
        <w:rPr/>
        <w:t xml:space="preserve">, </w:t>
      </w:r>
      <w:r>
        <w:rPr>
          <w:b/>
          <w:bCs/>
        </w:rPr>
        <w:t>250</w:t>
      </w:r>
      <w:r>
        <w:rPr/>
        <w:t>, 127–137.</w:t>
      </w:r>
      <w:bookmarkEnd w:id="193"/>
    </w:p>
    <w:p>
      <w:pPr>
        <w:pStyle w:val="Bibliography"/>
        <w:spacing w:before="0" w:after="200"/>
        <w:rPr/>
      </w:pPr>
      <w:bookmarkStart w:id="194" w:name="ref-zhao2019topology"/>
      <w:r>
        <w:rPr/>
        <w:t xml:space="preserve">Zhao, Y.-H., Lázaro, A., Ren, Z.-X., Zhou, W., Li, H.-D., Tao, Z.-B., Xu, K., Wu, Z.-K., Wolfe, L.M., Li, D.-Z. &amp; Wang, H. (2019). The topological differences between visitation and pollen transport networks: A comparison in species rich communities of the himalaya–hengduan mountains. </w:t>
      </w:r>
      <w:r>
        <w:rPr>
          <w:i/>
          <w:iCs/>
        </w:rPr>
        <w:t>Oikos</w:t>
      </w:r>
      <w:r>
        <w:rPr/>
        <w:t xml:space="preserve">, </w:t>
      </w:r>
      <w:r>
        <w:rPr>
          <w:b/>
          <w:bCs/>
        </w:rPr>
        <w:t>128</w:t>
      </w:r>
      <w:r>
        <w:rPr/>
        <w:t xml:space="preserve">, 551–562. Retrieved from </w:t>
      </w:r>
      <w:hyperlink r:id="rId57">
        <w:r>
          <w:rPr>
            <w:rStyle w:val="InternetLink"/>
          </w:rPr>
          <w:t>https://onlinelibrary.wiley.com/doi/abs/10.1111/oik.05262</w:t>
        </w:r>
      </w:hyperlink>
      <w:bookmarkEnd w:id="40"/>
      <w:bookmarkEnd w:id="41"/>
      <w:bookmarkEnd w:id="194"/>
    </w:p>
    <w:sectPr>
      <w:type w:val="nextPage"/>
      <w:pgSz w:w="12240" w:h="15840"/>
      <w:pgMar w:left="1440" w:right="1440" w:gutter="0" w:header="0" w:top="1440" w:footer="0" w:bottom="1440"/>
      <w:pgNumType w:fmt="decimal"/>
      <w:formProt w:val="false"/>
      <w:textDirection w:val="lrTb"/>
      <w:docGrid w:type="default" w:linePitch="100" w:charSpace="0"/>
    </w:sectPr>
  </w:body>
</w:document>
</file>

<file path=word/comments.xml><?xml version="1.0" encoding="utf-8"?>
<w:comment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comment w:id="0" w:author="Jane Ogilvie" w:date="2023-02-26T16:12:00Z" w:initials="JO">
    <w:p w14:paraId="01000000">
      <w:r>
        <w:rPr>
          <w:rFonts w:ascii="Liberation Serif" w:hAnsi="Liberation Serif" w:eastAsia="DejaVu Sans" w:cs="Noto Sans Arabic UI"/>
          <w:sz w:val="20"/>
          <w:szCs w:val="20"/>
          <w:lang w:val="en-US" w:eastAsia="en-US" w:bidi="en-US"/>
        </w:rPr>
        <w:t>An alternative title (or something similar), to emphasise that the paper is about the approach with the the bee pollen loads as a case study of the approach: An efficient and accurate approach for DNA metabarcoding in plant communities: a case study of identifying plant species in bumble bee corbiculae pollen loads</w:t>
      </w:r>
    </w:p>
  </w:comment>
  <w:comment w:id="1" w:author="Jane Ogilvie" w:date="2023-02-26T14:27:00Z" w:initials="JO">
    <w:p w14:paraId="02000000">
      <w:r>
        <w:rPr>
          <w:rFonts w:ascii="Liberation Serif" w:hAnsi="Liberation Serif" w:eastAsia="DejaVu Sans" w:cs="Noto Sans Arabic UI"/>
          <w:sz w:val="20"/>
          <w:szCs w:val="20"/>
          <w:lang w:val="en-US" w:eastAsia="en-US" w:bidi="en-US"/>
        </w:rPr>
        <w:t>As for the author list, you can just include my RMBL address.</w:t>
      </w:r>
    </w:p>
  </w:comment>
  <w:comment w:id="2" w:author="Jane Ogilvie" w:date="2023-02-26T14:43:00Z" w:initials="JO">
    <w:p w14:paraId="03000000">
      <w:r>
        <w:rPr>
          <w:rFonts w:ascii="Liberation Serif" w:hAnsi="Liberation Serif" w:eastAsia="DejaVu Sans" w:cs="Noto Sans Arabic UI"/>
          <w:sz w:val="20"/>
          <w:szCs w:val="20"/>
          <w:lang w:val="en-US" w:eastAsia="en-US" w:bidi="en-US"/>
        </w:rPr>
        <w:t>I might prefer to have this be more specific. Something like “… for the rapid identification of species within often complex ecological assemblages”. Though I am not myself solved on the “often complex” phrasing in the above example (that could be removed).</w:t>
      </w:r>
    </w:p>
  </w:comment>
  <w:comment w:id="3" w:author="Jane Ogilvie" w:date="2023-02-26T14:26:00Z" w:initials="JO">
    <w:p w14:paraId="04000000">
      <w:r>
        <w:rPr>
          <w:rFonts w:ascii="Liberation Serif" w:hAnsi="Liberation Serif" w:eastAsia="DejaVu Sans" w:cs="Noto Sans Arabic UI"/>
          <w:sz w:val="20"/>
          <w:szCs w:val="20"/>
          <w:lang w:val="en-US" w:eastAsia="en-US" w:bidi="en-US"/>
        </w:rPr>
        <w:t>Maybe? I think we need to be clear about what is lagging behind. This point should succinctly state why DNA metabarcoding is used, but the challenges in using it (i.e., the challenges that your approach is a solution to).</w:t>
      </w:r>
    </w:p>
  </w:comment>
  <w:comment w:id="5" w:author="Jane Ogilvie" w:date="2023-02-26T14:39:00Z" w:initials="JO">
    <w:p>
      <w:r>
        <w:rPr>
          <w:rFonts w:ascii="Liberation Serif" w:hAnsi="Liberation Serif" w:eastAsia="DejaVu Sans" w:cs="Noto Sans Arabic UI"/>
          <w:sz w:val="20"/>
          <w:szCs w:val="20"/>
          <w:lang w:val="en-US" w:eastAsia="en-US" w:bidi="en-US"/>
        </w:rPr>
        <w:t>This point could outline your overall approach (steps that you go through). And then after, here or in the next point, state that you will use bee corbiculae pollen loads in a well-known system as a case study and test to the accuracy of your approach.</w:t>
      </w:r>
    </w:p>
  </w:comment>
  <w:comment w:id="4" w:author="Jane Ogilvie" w:date="2023-03-02T09:17:00Z" w:initials="JO">
    <w:p>
      <w:r>
        <w:rPr>
          <w:rFonts w:ascii="Liberation Serif" w:hAnsi="Liberation Serif" w:eastAsia="DejaVu Sans" w:cs="Noto Sans Arabic UI"/>
          <w:sz w:val="20"/>
          <w:szCs w:val="20"/>
          <w:lang w:val="en-US" w:eastAsia="en-US" w:bidi="en-US"/>
        </w:rPr>
        <w:t>If you mention the Angiosperms 353 probes, I would briefly explain what the project is, because I wasn’t aware before reading further.</w:t>
      </w:r>
    </w:p>
  </w:comment>
  <w:comment w:id="6" w:author="Jane Ogilvie" w:date="2023-03-02T09:18:00Z" w:initials="JO">
    <w:p>
      <w:r>
        <w:rPr>
          <w:rFonts w:ascii="Liberation Serif" w:hAnsi="Liberation Serif" w:eastAsia="DejaVu Sans" w:cs="Noto Sans Arabic UI"/>
          <w:sz w:val="20"/>
          <w:szCs w:val="20"/>
          <w:lang w:val="en-US" w:eastAsia="en-US" w:bidi="en-US"/>
        </w:rPr>
        <w:t>Here I would give an overview of your results.</w:t>
      </w:r>
    </w:p>
  </w:comment>
  <w:comment w:id="7" w:author="Jane Ogilvie" w:date="2023-03-02T09:21:00Z" w:initials="JO">
    <w:p>
      <w:r>
        <w:rPr>
          <w:rFonts w:ascii="Liberation Serif" w:hAnsi="Liberation Serif" w:eastAsia="DejaVu Sans" w:cs="Noto Sans Arabic UI"/>
          <w:sz w:val="20"/>
          <w:szCs w:val="20"/>
          <w:lang w:val="en-US" w:eastAsia="en-US" w:bidi="en-US"/>
        </w:rPr>
        <w:t>Instead, you should wrap up with how your approach is efficient and accurate, and for what sorts of questions it could be useful.</w:t>
      </w:r>
    </w:p>
  </w:comment>
  <w:comment w:id="8" w:author="Jane Ogilvie" w:date="2023-03-01T17:23:00Z" w:initials="JO">
    <w:p>
      <w:r>
        <w:rPr>
          <w:rFonts w:ascii="Liberation Serif" w:hAnsi="Liberation Serif" w:eastAsia="DejaVu Sans" w:cs="Noto Sans Arabic UI"/>
          <w:sz w:val="20"/>
          <w:szCs w:val="20"/>
          <w:lang w:val="en-US" w:eastAsia="en-US" w:bidi="en-US"/>
        </w:rPr>
        <w:t>This introductory paragraph could be improved. To me it feels somewhat lofty and I would like to see it focus on a more particular problem rather then sometimes we want to identify plants that are hard to identify. Perhaps let’s give some concrete ecological questions for which plant DNA barcoding is useful.</w:t>
      </w:r>
    </w:p>
    <w:p>
      <w:r>
        <w:rPr>
          <w:rFonts w:ascii="Liberation Serif" w:hAnsi="Liberation Serif" w:eastAsia="DejaVu Sans" w:cs="Noto Sans Arabic UI"/>
          <w:lang w:val="en-US" w:eastAsia="en-US" w:bidi="en-US"/>
        </w:rPr>
      </w:r>
    </w:p>
    <w:p w14:paraId="05000000">
      <w:r>
        <w:rPr>
          <w:rFonts w:ascii="Liberation Serif" w:hAnsi="Liberation Serif" w:eastAsia="DejaVu Sans" w:cs="Noto Sans Arabic UI"/>
          <w:sz w:val="20"/>
          <w:szCs w:val="20"/>
          <w:lang w:val="en-US" w:eastAsia="en-US" w:bidi="en-US"/>
        </w:rPr>
        <w:t>However, in saying this, it is definitely great for your thesis! For the manuscript it may be best to focus on DNA barcoding pretty quickly in the first paragraph, and identify the challenges in using barcoding.</w:t>
      </w:r>
    </w:p>
  </w:comment>
  <w:comment w:id="9" w:author="Jane Ogilvie" w:date="2023-03-01T17:10:00Z" w:initials="JO">
    <w:p w14:paraId="06000000">
      <w:r>
        <w:rPr>
          <w:rFonts w:ascii="Liberation Serif" w:hAnsi="Liberation Serif" w:eastAsia="DejaVu Sans" w:cs="Noto Sans Arabic UI"/>
          <w:sz w:val="20"/>
          <w:szCs w:val="20"/>
          <w:lang w:val="en-US" w:eastAsia="en-US" w:bidi="en-US"/>
        </w:rPr>
        <w:t>This could be improved.</w:t>
      </w:r>
    </w:p>
  </w:comment>
  <w:comment w:id="10" w:author="Jane Ogilvie" w:date="2023-03-01T17:13:00Z" w:initials="JO">
    <w:p w14:paraId="07000000">
      <w:r>
        <w:rPr>
          <w:rFonts w:ascii="Liberation Serif" w:hAnsi="Liberation Serif" w:eastAsia="DejaVu Sans" w:cs="Noto Sans Arabic UI"/>
          <w:sz w:val="20"/>
          <w:szCs w:val="20"/>
          <w:lang w:val="en-US" w:eastAsia="en-US" w:bidi="en-US"/>
        </w:rPr>
        <w:t>This terminology is a bit jargony. Is there a good reason to use it instead of species? If not, just use species.</w:t>
      </w:r>
    </w:p>
  </w:comment>
  <w:comment w:id="11" w:author="Jane Ogilvie" w:date="2023-03-01T17:20:00Z" w:initials="JO">
    <w:p>
      <w:r>
        <w:rPr>
          <w:rFonts w:ascii="Liberation Serif" w:hAnsi="Liberation Serif" w:eastAsia="DejaVu Sans" w:cs="Noto Sans Arabic UI"/>
          <w:sz w:val="20"/>
          <w:szCs w:val="20"/>
          <w:lang w:val="en-US" w:eastAsia="en-US" w:bidi="en-US"/>
        </w:rPr>
        <w:t>Limited?</w:t>
      </w:r>
    </w:p>
  </w:comment>
  <w:comment w:id="12" w:author="Jane Ogilvie" w:date="2023-03-01T17:28:00Z" w:initials="JO">
    <w:p>
      <w:r>
        <w:rPr>
          <w:rFonts w:ascii="Liberation Serif" w:hAnsi="Liberation Serif" w:eastAsia="DejaVu Sans" w:cs="Noto Sans Arabic UI"/>
          <w:sz w:val="20"/>
          <w:szCs w:val="20"/>
          <w:lang w:val="en-US" w:eastAsia="en-US" w:bidi="en-US"/>
        </w:rPr>
        <w:t>This sentence could use a just little more unpacking/explanation. Mostly my ecologist brain doesn’t quite know what “high copy number barcodes” means and why it is important to mention here as a limitation do DNA barcoding in plants.</w:t>
      </w:r>
    </w:p>
  </w:comment>
  <w:comment w:id="13" w:author="Jane Ogilvie" w:date="2023-03-01T17:42:00Z" w:initials="JO">
    <w:p>
      <w:r>
        <w:rPr>
          <w:rFonts w:ascii="Liberation Serif" w:hAnsi="Liberation Serif" w:eastAsia="DejaVu Sans" w:cs="Noto Sans Arabic UI"/>
          <w:sz w:val="20"/>
          <w:szCs w:val="20"/>
          <w:lang w:val="en-US" w:eastAsia="en-US" w:bidi="en-US"/>
        </w:rPr>
        <w:t>I think this paragraph could be more concise. Basically it says: we are getting more and better plant sequences, but there is the issue of how to deal with all of that data. Here is our proposed solution.</w:t>
      </w:r>
    </w:p>
  </w:comment>
  <w:comment w:id="14" w:author="Jane Ogilvie" w:date="2023-03-01T17:44:00Z" w:initials="JO">
    <w:p>
      <w:r>
        <w:rPr>
          <w:rFonts w:ascii="Liberation Serif" w:hAnsi="Liberation Serif" w:eastAsia="DejaVu Sans" w:cs="Noto Sans Arabic UI"/>
          <w:sz w:val="20"/>
          <w:szCs w:val="20"/>
          <w:lang w:val="en-US" w:eastAsia="en-US" w:bidi="en-US"/>
        </w:rPr>
        <w:t xml:space="preserve">If the above paragraph is made more concise, this sentence could be added to the end. It’s a nice complement to “the problem” (here is our solution). </w:t>
      </w:r>
    </w:p>
  </w:comment>
  <w:comment w:id="15" w:author="Jane Ogilvie" w:date="2023-03-01T18:07:00Z" w:initials="JO">
    <w:p>
      <w:r>
        <w:rPr>
          <w:rFonts w:ascii="Liberation Serif" w:hAnsi="Liberation Serif" w:eastAsia="DejaVu Sans" w:cs="Noto Sans Arabic UI"/>
          <w:sz w:val="20"/>
          <w:szCs w:val="20"/>
          <w:lang w:val="en-US" w:eastAsia="en-US" w:bidi="en-US"/>
        </w:rPr>
        <w:t>This could take a lot of work in some systems where little is known, right? This is maybe something to ponder for the paper, not for your thesis. :)</w:t>
      </w:r>
    </w:p>
  </w:comment>
  <w:comment w:id="16" w:author="Jane Ogilvie" w:date="2023-03-01T18:08:00Z" w:initials="JO">
    <w:p w14:paraId="08000000">
      <w:r>
        <w:rPr>
          <w:rFonts w:ascii="Liberation Serif" w:hAnsi="Liberation Serif" w:eastAsia="DejaVu Sans" w:cs="Noto Sans Arabic UI"/>
          <w:sz w:val="20"/>
          <w:szCs w:val="20"/>
          <w:lang w:val="en-US" w:eastAsia="en-US" w:bidi="en-US"/>
        </w:rPr>
        <w:t>This step is not super clear to me.</w:t>
      </w:r>
    </w:p>
  </w:comment>
  <w:comment w:id="18" w:author="Jane Ogilvie" w:date="2023-03-01T18:12:00Z" w:initials="JO">
    <w:p>
      <w:r>
        <w:rPr>
          <w:rFonts w:ascii="Liberation Serif" w:hAnsi="Liberation Serif" w:eastAsia="DejaVu Sans" w:cs="Noto Sans Arabic UI"/>
          <w:sz w:val="20"/>
          <w:szCs w:val="20"/>
          <w:lang w:val="en-US" w:eastAsia="en-US" w:bidi="en-US"/>
        </w:rPr>
        <w:t>Perhaps this is not needed with a simple addition to the next sentence?</w:t>
      </w:r>
    </w:p>
  </w:comment>
  <w:comment w:id="17" w:author="Jane Ogilvie" w:date="2023-03-01T18:15:00Z" w:initials="JO">
    <w:p>
      <w:r>
        <w:rPr>
          <w:rFonts w:ascii="Liberation Serif" w:hAnsi="Liberation Serif" w:eastAsia="DejaVu Sans" w:cs="Noto Sans Arabic UI"/>
          <w:sz w:val="20"/>
          <w:szCs w:val="20"/>
          <w:lang w:val="en-US" w:eastAsia="en-US" w:bidi="en-US"/>
        </w:rPr>
        <w:t>The previous paragraph was essentially talking about plant variation in space, and now this one is about variation over time.</w:t>
      </w:r>
    </w:p>
  </w:comment>
  <w:comment w:id="19" w:author="Jane Ogilvie" w:date="2023-02-26T16:23:00Z" w:initials="JO">
    <w:p>
      <w:r>
        <w:rPr>
          <w:rFonts w:ascii="Liberation Serif" w:hAnsi="Liberation Serif" w:eastAsia="DejaVu Sans" w:cs="Noto Sans Arabic UI"/>
          <w:sz w:val="20"/>
          <w:szCs w:val="20"/>
          <w:lang w:val="en-US" w:eastAsia="en-US" w:bidi="en-US"/>
        </w:rPr>
        <w:t xml:space="preserve">Is this detail needed? It may useful to add to the discussion in your paper. </w:t>
      </w:r>
    </w:p>
    <w:p>
      <w:r>
        <w:rPr>
          <w:rFonts w:ascii="Liberation Serif" w:hAnsi="Liberation Serif" w:eastAsia="DejaVu Sans" w:cs="Noto Sans Arabic UI"/>
          <w:lang w:val="en-US" w:eastAsia="en-US" w:bidi="en-US"/>
        </w:rPr>
      </w:r>
    </w:p>
    <w:p>
      <w:r>
        <w:rPr>
          <w:rFonts w:ascii="Liberation Serif" w:hAnsi="Liberation Serif" w:eastAsia="DejaVu Sans" w:cs="Noto Sans Arabic UI"/>
          <w:sz w:val="20"/>
          <w:szCs w:val="20"/>
          <w:lang w:val="en-US" w:eastAsia="en-US" w:bidi="en-US"/>
        </w:rPr>
        <w:t>(Just a thought for the paper: I’m thinking that your approach could be useful in regions where we lack a lot of ecological knowledge. So this may include regions in the tropics or subtropics. It would be cool to think about whether the approach would be useful in those areas, and the limitations/difficulties in applying your approach in those regions. In general, it is good to think about how our science can be applied outside of temperate zones where a lot of science is mostly focussed. But of course, there are a lot of plants outside of temperate zones that we want to learn about.)</w:t>
      </w:r>
    </w:p>
  </w:comment>
  <w:comment w:id="20" w:author="Jane Ogilvie" w:date="2023-03-01T18:24:00Z" w:initials="JO">
    <w:p w14:paraId="09000000">
      <w:r>
        <w:rPr>
          <w:rFonts w:ascii="Liberation Serif" w:hAnsi="Liberation Serif" w:eastAsia="DejaVu Sans" w:cs="Noto Sans Arabic UI"/>
          <w:sz w:val="20"/>
          <w:szCs w:val="20"/>
          <w:lang w:val="en-US" w:eastAsia="en-US" w:bidi="en-US"/>
        </w:rPr>
        <w:t>Or: by using corbiculae pollen loads of bees as a case study.</w:t>
      </w:r>
    </w:p>
  </w:comment>
  <w:comment w:id="22" w:author="Jane Ogilvie" w:date="2023-03-01T20:32:00Z" w:initials="JO">
    <w:p w14:paraId="0a000000">
      <w:r>
        <w:rPr>
          <w:rFonts w:ascii="Liberation Serif" w:hAnsi="Liberation Serif" w:eastAsia="DejaVu Sans" w:cs="Noto Sans Arabic UI"/>
          <w:sz w:val="20"/>
          <w:szCs w:val="20"/>
          <w:lang w:val="en-US" w:eastAsia="en-US" w:bidi="en-US"/>
        </w:rPr>
        <w:t>Perhaps this goes in a separate sentence (and I may have changed the information flow that leads to this phrase). I think for this second sentence of the paragraph we need to describe what we did.</w:t>
      </w:r>
    </w:p>
  </w:comment>
  <w:comment w:id="21" w:author="Jane Ogilvie" w:date="2023-03-01T22:38:00Z" w:initials="JO">
    <w:p>
      <w:r>
        <w:rPr>
          <w:rFonts w:ascii="Liberation Serif" w:hAnsi="Liberation Serif" w:eastAsia="DejaVu Sans" w:cs="Noto Sans Arabic UI"/>
          <w:sz w:val="20"/>
          <w:szCs w:val="20"/>
          <w:lang w:val="en-US" w:eastAsia="en-US" w:bidi="en-US"/>
        </w:rPr>
        <w:t>I think it will be very important, in this final paragraph of the introduction, to clearly state what you did. It would be nice to generate a numbered set of questions, but simply just explicitly stating all of the the components and WHY they were done will make things clearer and set the stage for the methods and results.</w:t>
      </w:r>
    </w:p>
  </w:comment>
  <w:comment w:id="23" w:author="Jane Ogilvie" w:date="2023-03-01T21:06:00Z" w:initials="JO">
    <w:p>
      <w:r>
        <w:rPr>
          <w:rFonts w:ascii="Liberation Serif" w:hAnsi="Liberation Serif" w:eastAsia="DejaVu Sans" w:cs="Noto Sans Arabic UI"/>
          <w:sz w:val="20"/>
          <w:szCs w:val="20"/>
          <w:lang w:val="en-US" w:eastAsia="en-US" w:bidi="en-US"/>
        </w:rPr>
        <w:t>** I have ideas for this but need a bit more time. We focus on queens because the success of the queen life stage (establishing a colony) is essential for bumble bee population persistence. The pollen loads represent the food (mostly protein and lipids) being brought back for the first rounds of workers. Knowing what they are feeding to young can be useful for simply understanding their population ecology and can also be useful for restoration efforts (what plants to use for restoration or conservation efforts to support bumble bee populations).</w:t>
      </w:r>
    </w:p>
  </w:comment>
  <w:comment w:id="25" w:author="Jane Ogilvie" w:date="2023-02-26T16:29:00Z" w:initials="JO">
    <w:p>
      <w:r>
        <w:rPr>
          <w:rFonts w:ascii="Liberation Serif" w:hAnsi="Liberation Serif" w:eastAsia="DejaVu Sans" w:cs="Noto Sans Arabic UI"/>
          <w:sz w:val="20"/>
          <w:szCs w:val="20"/>
          <w:lang w:val="en-US" w:eastAsia="en-US" w:bidi="en-US"/>
        </w:rPr>
        <w:t>Perhaps from here onwards is not really needed. We should make a slightly different importance argument.</w:t>
      </w:r>
    </w:p>
  </w:comment>
  <w:comment w:id="24" w:author="Jane Ogilvie" w:date="2023-03-01T21:09:00Z" w:initials="JO">
    <w:p>
      <w:r>
        <w:rPr>
          <w:rFonts w:ascii="Liberation Serif" w:hAnsi="Liberation Serif" w:eastAsia="DejaVu Sans" w:cs="Noto Sans Arabic UI"/>
          <w:sz w:val="20"/>
          <w:szCs w:val="20"/>
          <w:lang w:val="en-US" w:eastAsia="en-US" w:bidi="en-US"/>
        </w:rPr>
        <w:t>However, it is fine for your thesis!</w:t>
      </w:r>
    </w:p>
  </w:comment>
  <w:comment w:id="26" w:author="Jane Ogilvie" w:date="2023-03-02T10:02:00Z" w:initials="JO">
    <w:p>
      <w:r>
        <w:rPr>
          <w:rFonts w:ascii="Liberation Serif" w:hAnsi="Liberation Serif" w:eastAsia="DejaVu Sans" w:cs="Noto Sans Arabic UI"/>
          <w:sz w:val="20"/>
          <w:szCs w:val="20"/>
          <w:lang w:val="en-US" w:eastAsia="en-US" w:bidi="en-US"/>
        </w:rPr>
        <w:t>Ideally (for the paper), you will start with a summary paragraph of your approach (so have your approach take prominence in the methods).</w:t>
      </w:r>
    </w:p>
  </w:comment>
  <w:comment w:id="27" w:author="Jane Ogilvie" w:date="2023-03-01T21:55:00Z" w:initials="JO">
    <w:p>
      <w:r>
        <w:rPr>
          <w:rFonts w:ascii="Liberation Serif" w:hAnsi="Liberation Serif" w:eastAsia="DejaVu Sans" w:cs="Noto Sans Arabic UI"/>
          <w:sz w:val="20"/>
          <w:szCs w:val="20"/>
          <w:lang w:val="en-US" w:eastAsia="en-US" w:bidi="en-US"/>
        </w:rPr>
        <w:t>** I’ll work on this section for the paper. It’s fine as it is.</w:t>
      </w:r>
    </w:p>
  </w:comment>
  <w:comment w:id="28" w:author="Jane Ogilvie" w:date="2023-03-01T21:21:00Z" w:initials="JO">
    <w:p w14:paraId="0b000000">
      <w:r>
        <w:rPr>
          <w:rFonts w:ascii="Liberation Serif" w:hAnsi="Liberation Serif" w:eastAsia="DejaVu Sans" w:cs="Noto Sans Arabic UI"/>
          <w:color w:val="080808"/>
          <w:sz w:val="20"/>
          <w:szCs w:val="20"/>
          <w:lang w:val="en-US" w:eastAsia="en-US" w:bidi="en-US"/>
        </w:rPr>
        <w:t xml:space="preserve">Ogilvie JE, </w:t>
      </w:r>
      <w:r>
        <w:rPr>
          <w:rFonts w:ascii="Liberation Serif" w:hAnsi="Liberation Serif" w:eastAsia="DejaVu Sans" w:cs="Noto Sans Arabic UI"/>
          <w:sz w:val="20"/>
          <w:szCs w:val="20"/>
          <w:lang w:val="en-US" w:eastAsia="en-US" w:bidi="en-US"/>
        </w:rPr>
        <w:t>CaraDonna PJ</w:t>
      </w:r>
      <w:r>
        <w:rPr>
          <w:rFonts w:ascii="Liberation Serif" w:hAnsi="Liberation Serif" w:eastAsia="DejaVu Sans" w:cs="Noto Sans Arabic UI"/>
          <w:color w:val="080808"/>
          <w:sz w:val="20"/>
          <w:szCs w:val="20"/>
          <w:lang w:val="en-US" w:eastAsia="en-US" w:bidi="en-US"/>
        </w:rPr>
        <w:t xml:space="preserve">. 2022. The shifting importance of abiotic and biotic factors across the life cycles of wild pollinators. </w:t>
      </w:r>
      <w:r>
        <w:rPr>
          <w:rFonts w:ascii="Liberation Serif" w:hAnsi="Liberation Serif" w:eastAsia="DejaVu Sans" w:cs="Noto Sans Arabic UI"/>
          <w:i/>
          <w:iCs/>
          <w:sz w:val="20"/>
          <w:szCs w:val="20"/>
          <w:lang w:val="en-US" w:eastAsia="en-US" w:bidi="en-US"/>
        </w:rPr>
        <w:t xml:space="preserve">Journal of Animal Ecology </w:t>
      </w:r>
      <w:r>
        <w:rPr>
          <w:rFonts w:ascii="Liberation Serif" w:hAnsi="Liberation Serif" w:eastAsia="DejaVu Sans" w:cs="Noto Sans Arabic UI"/>
          <w:sz w:val="20"/>
          <w:szCs w:val="20"/>
          <w:lang w:val="en-US" w:eastAsia="en-US" w:bidi="en-US"/>
        </w:rPr>
        <w:t>91:2412-2423.</w:t>
      </w:r>
    </w:p>
  </w:comment>
  <w:comment w:id="29" w:author="Jane Ogilvie" w:date="2023-03-02T09:53:00Z" w:initials="JO">
    <w:p w14:paraId="0c000000">
      <w:r>
        <w:rPr>
          <w:rFonts w:ascii="Liberation Serif" w:hAnsi="Liberation Serif" w:eastAsia="DejaVu Sans" w:cs="Noto Sans Arabic UI"/>
          <w:sz w:val="20"/>
          <w:szCs w:val="20"/>
          <w:lang w:val="en-US" w:eastAsia="en-US" w:bidi="en-US"/>
        </w:rPr>
        <w:t>Kearns, C. A., and J. D. Thomson. 2001. The natural history of bumblebees. First edition. University Press of Colorado, Boulder.</w:t>
      </w:r>
    </w:p>
  </w:comment>
  <w:comment w:id="30" w:author="Jane Ogilvie" w:date="2023-03-01T21:52:00Z" w:initials="JO">
    <w:p>
      <w:r>
        <w:rPr>
          <w:rFonts w:ascii="Liberation Serif" w:hAnsi="Liberation Serif" w:eastAsia="DejaVu Sans" w:cs="Noto Sans Arabic UI"/>
          <w:sz w:val="20"/>
          <w:szCs w:val="20"/>
          <w:lang w:val="en-US" w:eastAsia="en-US" w:bidi="en-US"/>
        </w:rPr>
        <w:t>I don’t think so. One section with all of the ecological field work should be appropriate.</w:t>
      </w:r>
    </w:p>
  </w:comment>
  <w:comment w:id="31" w:author="Jane Ogilvie" w:date="2023-03-01T22:03:00Z" w:initials="JO">
    <w:p w14:paraId="0d000000">
      <w:r>
        <w:rPr>
          <w:rFonts w:ascii="Liberation Serif" w:hAnsi="Liberation Serif" w:eastAsia="DejaVu Sans" w:cs="Noto Sans Arabic UI"/>
          <w:sz w:val="20"/>
          <w:szCs w:val="20"/>
          <w:lang w:val="en-US" w:eastAsia="en-US" w:bidi="en-US"/>
        </w:rPr>
        <w:t>This seems a little repetitive as it is mentioned below. Use this sentence as a broader overview of what you did.</w:t>
      </w:r>
    </w:p>
  </w:comment>
  <w:comment w:id="32" w:author="Jane Ogilvie" w:date="2023-03-01T22:14:00Z" w:initials="JO">
    <w:p>
      <w:r>
        <w:rPr>
          <w:rFonts w:ascii="Liberation Serif" w:hAnsi="Liberation Serif" w:eastAsia="DejaVu Sans" w:cs="Noto Sans Arabic UI"/>
          <w:sz w:val="20"/>
          <w:szCs w:val="20"/>
          <w:lang w:val="en-US" w:eastAsia="en-US" w:bidi="en-US"/>
        </w:rPr>
        <w:t>This could be clearer, but fine for now!</w:t>
      </w:r>
    </w:p>
  </w:comment>
  <w:comment w:id="33" w:author="Jane Ogilvie" w:date="2023-03-01T22:17:00Z" w:initials="JO">
    <w:p>
      <w:r>
        <w:rPr>
          <w:rFonts w:ascii="Liberation Serif" w:hAnsi="Liberation Serif" w:eastAsia="DejaVu Sans" w:cs="Noto Sans Arabic UI"/>
          <w:sz w:val="20"/>
          <w:szCs w:val="20"/>
          <w:lang w:val="en-US" w:eastAsia="en-US" w:bidi="en-US"/>
        </w:rPr>
        <w:t>It would be useful to have a simple statement to start about why the SDMs were used.</w:t>
      </w:r>
    </w:p>
  </w:comment>
  <w:comment w:id="34" w:author="Jane Ogilvie" w:date="2023-03-01T22:21:00Z" w:initials="JO">
    <w:p w14:paraId="0e000000">
      <w:r>
        <w:rPr>
          <w:rFonts w:ascii="Liberation Serif" w:hAnsi="Liberation Serif" w:eastAsia="DejaVu Sans" w:cs="Noto Sans Arabic UI"/>
          <w:sz w:val="20"/>
          <w:szCs w:val="20"/>
          <w:lang w:val="en-US" w:eastAsia="en-US" w:bidi="en-US"/>
        </w:rPr>
        <w:t>Add a brief phrase about why you did this.</w:t>
      </w:r>
    </w:p>
  </w:comment>
  <w:comment w:id="35" w:author="Jane Ogilvie" w:date="2023-03-02T10:09:00Z" w:initials="JO">
    <w:p w14:paraId="0f000000">
      <w:r>
        <w:rPr>
          <w:rFonts w:ascii="Liberation Serif" w:hAnsi="Liberation Serif" w:eastAsia="DejaVu Sans" w:cs="Noto Sans Arabic UI"/>
          <w:sz w:val="20"/>
          <w:szCs w:val="20"/>
          <w:lang w:val="en-US" w:eastAsia="en-US" w:bidi="en-US"/>
        </w:rPr>
        <w:t>I added this because it is good to specify that these are spring queens who are establishing nests and foraging for themselves and young.</w:t>
      </w:r>
    </w:p>
  </w:comment>
  <w:comment w:id="36" w:author="Jane Ogilvie" w:date="2023-03-02T10:06:00Z" w:initials="JO">
    <w:p>
      <w:r>
        <w:rPr>
          <w:rFonts w:ascii="Liberation Serif" w:hAnsi="Liberation Serif" w:eastAsia="DejaVu Sans" w:cs="Noto Sans Arabic UI"/>
          <w:sz w:val="20"/>
          <w:szCs w:val="20"/>
          <w:lang w:val="en-US" w:eastAsia="en-US" w:bidi="en-US"/>
        </w:rPr>
        <w:t>This is a lot! Heaps more now though, haha.</w:t>
      </w:r>
    </w:p>
  </w:comment>
  <w:comment w:id="37" w:author="Jane Ogilvie" w:date="2023-03-01T22:50:00Z" w:initials="JO">
    <w:p>
      <w:r>
        <w:rPr>
          <w:rFonts w:ascii="Liberation Serif" w:hAnsi="Liberation Serif" w:eastAsia="DejaVu Sans" w:cs="Noto Sans Arabic UI"/>
          <w:sz w:val="20"/>
          <w:szCs w:val="20"/>
          <w:lang w:val="en-US" w:eastAsia="en-US" w:bidi="en-US"/>
        </w:rPr>
        <w:t>This section seems to be a repeat of 3.1?</w:t>
      </w:r>
    </w:p>
  </w:comment>
  <w:comment w:id="38" w:author="Jane Ogilvie" w:date="2023-03-01T22:56:00Z" w:initials="JO">
    <w:p>
      <w:r>
        <w:rPr>
          <w:rFonts w:ascii="Liberation Serif" w:hAnsi="Liberation Serif" w:eastAsia="DejaVu Sans" w:cs="Noto Sans Arabic UI"/>
          <w:sz w:val="20"/>
          <w:szCs w:val="20"/>
          <w:lang w:val="en-US" w:eastAsia="en-US" w:bidi="en-US"/>
        </w:rPr>
        <w:t>Should this be a higher value?</w:t>
      </w:r>
    </w:p>
  </w:comment>
  <w:comment w:id="39" w:author="Jane Ogilvie" w:date="2023-03-01T22:57:00Z" w:initials="JO">
    <w:p>
      <w:r>
        <w:rPr>
          <w:rFonts w:ascii="Liberation Serif" w:hAnsi="Liberation Serif" w:eastAsia="DejaVu Sans" w:cs="Noto Sans Arabic UI"/>
          <w:sz w:val="20"/>
          <w:szCs w:val="20"/>
          <w:lang w:val="en-US" w:eastAsia="en-US" w:bidi="en-US"/>
        </w:rPr>
        <w:t>I’m not sure what this phrase means.</w:t>
      </w:r>
    </w:p>
  </w:comment>
  <w:comment w:id="40" w:author="Jane Ogilvie" w:date="2023-03-02T10:12:00Z" w:initials="JO">
    <w:p>
      <w:r>
        <w:rPr>
          <w:rFonts w:ascii="Liberation Serif" w:hAnsi="Liberation Serif" w:eastAsia="DejaVu Sans" w:cs="Noto Sans Arabic UI"/>
          <w:sz w:val="20"/>
          <w:szCs w:val="20"/>
          <w:lang w:val="en-US" w:eastAsia="en-US" w:bidi="en-US"/>
        </w:rPr>
        <w:t>Figure caption?</w:t>
      </w:r>
    </w:p>
  </w:comment>
  <w:comment w:id="41" w:author="Jane Ogilvie" w:date="2023-03-01T23:06:00Z" w:initials="JO">
    <w:p w14:paraId="10000000">
      <w:r>
        <w:rPr>
          <w:rFonts w:ascii="Liberation Serif" w:hAnsi="Liberation Serif" w:eastAsia="DejaVu Sans" w:cs="Noto Sans Arabic UI"/>
          <w:sz w:val="20"/>
          <w:szCs w:val="20"/>
          <w:lang w:val="en-US" w:eastAsia="en-US" w:bidi="en-US"/>
        </w:rPr>
        <w:t>I’m not sure that they occur at the sites…</w:t>
      </w:r>
    </w:p>
  </w:comment>
  <w:comment w:id="42" w:author="Jane Ogilvie" w:date="2023-03-01T23:09:00Z" w:initials="JO">
    <w:p w14:paraId="11000000">
      <w:r>
        <w:rPr>
          <w:rFonts w:ascii="Liberation Serif" w:hAnsi="Liberation Serif" w:eastAsia="DejaVu Sans" w:cs="Noto Sans Arabic UI"/>
          <w:sz w:val="20"/>
          <w:szCs w:val="20"/>
          <w:lang w:val="en-US" w:eastAsia="en-US" w:bidi="en-US"/>
        </w:rPr>
        <w:t>Hmmm, perhaps I said this. It would be an uncomfortable dangle upside down. For a bumble. These are thought to be wind pollinated plants, and I have rarely seen bumble bees on them despite being very common. From memory I have only seen a Bombus flavifrons “sample” from one flower and quickly move straight on to another plant species.</w:t>
      </w:r>
    </w:p>
  </w:comment>
  <w:comment w:id="43" w:author="Jane Ogilvie" w:date="2023-03-01T23:13:00Z" w:initials="JO">
    <w:p>
      <w:r>
        <w:rPr>
          <w:rFonts w:ascii="Liberation Serif" w:hAnsi="Liberation Serif" w:eastAsia="DejaVu Sans" w:cs="Noto Sans Arabic UI"/>
          <w:sz w:val="20"/>
          <w:szCs w:val="20"/>
          <w:lang w:val="en-US" w:eastAsia="en-US" w:bidi="en-US"/>
        </w:rPr>
        <w:t>This paragraph needs a little work to make it clearer.</w:t>
      </w:r>
    </w:p>
  </w:comment>
  <w:comment w:id="44" w:author="Jane Ogilvie" w:date="2023-03-02T10:13:00Z" w:initials="JO">
    <w:p>
      <w:r>
        <w:rPr>
          <w:rFonts w:ascii="Liberation Serif" w:hAnsi="Liberation Serif" w:eastAsia="DejaVu Sans" w:cs="Noto Sans Arabic UI"/>
          <w:sz w:val="20"/>
          <w:szCs w:val="20"/>
          <w:lang w:val="en-US" w:eastAsia="en-US" w:bidi="en-US"/>
        </w:rPr>
        <w:t>You should start with your take home result/message of your work. What is the awesome thing that you just did?</w:t>
      </w:r>
    </w:p>
  </w:comment>
  <w:comment w:id="45" w:author="Jane Ogilvie" w:date="2023-03-01T23:22:00Z" w:initials="JO">
    <w:p>
      <w:r>
        <w:rPr>
          <w:rFonts w:ascii="Liberation Serif" w:hAnsi="Liberation Serif" w:eastAsia="DejaVu Sans" w:cs="Noto Sans Arabic UI"/>
          <w:sz w:val="20"/>
          <w:szCs w:val="20"/>
          <w:lang w:val="en-US" w:eastAsia="en-US" w:bidi="en-US"/>
        </w:rPr>
        <w:t>If it is useful, over the years I have weekly recorded all of the plant species I see blooming at the sites (regardless of whether they are visited by bumbles). (I think that I have mentioned this so sorry for repeating.)</w:t>
      </w:r>
    </w:p>
  </w:comment>
  <w:comment w:id="46" w:author="Jane Ogilvie" w:date="2023-03-02T10:14:00Z" w:initials="JO">
    <w:p>
      <w:r>
        <w:rPr>
          <w:rFonts w:ascii="Liberation Serif" w:hAnsi="Liberation Serif" w:eastAsia="DejaVu Sans" w:cs="Noto Sans Arabic UI"/>
          <w:sz w:val="20"/>
          <w:szCs w:val="20"/>
          <w:lang w:val="en-US" w:eastAsia="en-US" w:bidi="en-US"/>
        </w:rPr>
        <w:t>I definitely will flesh these out in the paper! Sorry that I didn’t have time now. For now you could leave this part (what it tells us about bumble bee foraging) very simple and short.</w:t>
      </w:r>
    </w:p>
  </w:comment>
</w:comments>
</file>

<file path=word/commentsExtended.xml><?xml version="1.0" encoding="utf-8"?>
<w15:commentsEx xmlns:mc="http://schemas.openxmlformats.org/markup-compatibility/2006" xmlns:w15="http://schemas.microsoft.com/office/word/2012/wordml" mc:Ignorable="w15">
  <w15:commentEx w15:paraId="01000000" w15:done="1"/>
  <w15:commentEx w15:paraId="02000000" w15:done="1"/>
  <w15:commentEx w15:paraId="03000000" w15:done="1"/>
  <w15:commentEx w15:paraId="04000000" w15:done="1"/>
  <w15:commentEx w15:paraId="05000000" w15:done="1"/>
  <w15:commentEx w15:paraId="06000000" w15:done="1"/>
  <w15:commentEx w15:paraId="07000000" w15:done="1"/>
  <w15:commentEx w15:paraId="08000000" w15:done="1"/>
  <w15:commentEx w15:paraId="09000000" w15:done="1"/>
  <w15:commentEx w15:paraId="0a000000" w15:done="1"/>
  <w15:commentEx w15:paraId="0b000000" w15:done="1"/>
  <w15:commentEx w15:paraId="0c000000" w15:done="1"/>
  <w15:commentEx w15:paraId="0d000000" w15:done="1"/>
  <w15:commentEx w15:paraId="0e000000" w15:done="1"/>
  <w15:commentEx w15:paraId="0f000000" w15:done="1"/>
  <w15:commentEx w15:paraId="10000000" w15:done="1"/>
  <w15:commentEx w15:paraId="11000000" w15:done="1"/>
</w15:commentsEx>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mbria">
    <w:charset w:val="01"/>
    <w:family w:val="roman"/>
    <w:pitch w:val="variable"/>
  </w:font>
  <w:font w:name="Calibri">
    <w:charset w:val="01"/>
    <w:family w:val="roman"/>
    <w:pitch w:val="variable"/>
  </w:font>
  <w:font w:name="Consolas">
    <w:charset w:val="01"/>
    <w:family w:val="roman"/>
    <w:pitch w:val="variable"/>
  </w:font>
  <w:font w:name="Liberation Sans">
    <w:altName w:val="Arial"/>
    <w:charset w:val="01"/>
    <w:family w:val="roman"/>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decimal"/>
      <w:lvlText w:val="%1)"/>
      <w:lvlJc w:val="left"/>
      <w:pPr>
        <w:tabs>
          <w:tab w:val="num" w:pos="0"/>
        </w:tabs>
        <w:ind w:left="720" w:hanging="480"/>
      </w:pPr>
      <w:rPr/>
    </w:lvl>
    <w:lvl w:ilvl="1">
      <w:start w:val="1"/>
      <w:numFmt w:val="decimal"/>
      <w:lvlText w:val="%2)"/>
      <w:lvlJc w:val="left"/>
      <w:pPr>
        <w:tabs>
          <w:tab w:val="num" w:pos="0"/>
        </w:tabs>
        <w:ind w:left="1440" w:hanging="480"/>
      </w:pPr>
      <w:rPr/>
    </w:lvl>
    <w:lvl w:ilvl="2">
      <w:start w:val="1"/>
      <w:numFmt w:val="decimal"/>
      <w:lvlText w:val="%3)"/>
      <w:lvlJc w:val="left"/>
      <w:pPr>
        <w:tabs>
          <w:tab w:val="num" w:pos="0"/>
        </w:tabs>
        <w:ind w:left="2160" w:hanging="480"/>
      </w:pPr>
      <w:rPr/>
    </w:lvl>
    <w:lvl w:ilvl="3">
      <w:start w:val="1"/>
      <w:numFmt w:val="decimal"/>
      <w:lvlText w:val="%4)"/>
      <w:lvlJc w:val="left"/>
      <w:pPr>
        <w:tabs>
          <w:tab w:val="num" w:pos="0"/>
        </w:tabs>
        <w:ind w:left="2880" w:hanging="480"/>
      </w:pPr>
      <w:rPr/>
    </w:lvl>
    <w:lvl w:ilvl="4">
      <w:start w:val="1"/>
      <w:numFmt w:val="decimal"/>
      <w:lvlText w:val="%5)"/>
      <w:lvlJc w:val="left"/>
      <w:pPr>
        <w:tabs>
          <w:tab w:val="num" w:pos="0"/>
        </w:tabs>
        <w:ind w:left="3600" w:hanging="480"/>
      </w:pPr>
      <w:rPr/>
    </w:lvl>
    <w:lvl w:ilvl="5">
      <w:start w:val="1"/>
      <w:numFmt w:val="decimal"/>
      <w:lvlText w:val="%6)"/>
      <w:lvlJc w:val="left"/>
      <w:pPr>
        <w:tabs>
          <w:tab w:val="num" w:pos="0"/>
        </w:tabs>
        <w:ind w:left="4320" w:hanging="480"/>
      </w:pPr>
      <w:rPr/>
    </w:lvl>
    <w:lvl w:ilvl="6">
      <w:start w:val="1"/>
      <w:numFmt w:val="decimal"/>
      <w:lvlText w:val="%7)"/>
      <w:lvlJc w:val="left"/>
      <w:pPr>
        <w:tabs>
          <w:tab w:val="num" w:pos="0"/>
        </w:tabs>
        <w:ind w:left="5040" w:hanging="480"/>
      </w:pPr>
      <w:rPr/>
    </w:lvl>
    <w:lvl w:ilvl="7">
      <w:start w:val="1"/>
      <w:numFmt w:val="decimal"/>
      <w:lvlText w:val="%8)"/>
      <w:lvlJc w:val="left"/>
      <w:pPr>
        <w:tabs>
          <w:tab w:val="num" w:pos="0"/>
        </w:tabs>
        <w:ind w:left="5760" w:hanging="480"/>
      </w:pPr>
      <w:rPr/>
    </w:lvl>
    <w:lvl w:ilvl="8">
      <w:start w:val="1"/>
      <w:numFmt w:val="decimal"/>
      <w:lvlText w:val="%9)"/>
      <w:lvlJc w:val="left"/>
      <w:pPr>
        <w:tabs>
          <w:tab w:val="num" w:pos="0"/>
        </w:tabs>
        <w:ind w:left="6480" w:hanging="480"/>
      </w:pPr>
      <w:rPr/>
    </w:lvl>
  </w:abstractNum>
  <w:abstractNum w:abstractNumId="2">
    <w:lvl w:ilvl="0">
      <w:start w:val="1"/>
      <w:numFmt w:val="decimal"/>
      <w:lvlText w:val="%1)"/>
      <w:lvlJc w:val="left"/>
      <w:pPr>
        <w:tabs>
          <w:tab w:val="num" w:pos="0"/>
        </w:tabs>
        <w:ind w:left="720" w:hanging="480"/>
      </w:pPr>
      <w:rPr/>
    </w:lvl>
    <w:lvl w:ilvl="1">
      <w:start w:val="1"/>
      <w:numFmt w:val="decimal"/>
      <w:lvlText w:val="%2)"/>
      <w:lvlJc w:val="left"/>
      <w:pPr>
        <w:tabs>
          <w:tab w:val="num" w:pos="0"/>
        </w:tabs>
        <w:ind w:left="1440" w:hanging="480"/>
      </w:pPr>
      <w:rPr/>
    </w:lvl>
    <w:lvl w:ilvl="2">
      <w:start w:val="1"/>
      <w:numFmt w:val="decimal"/>
      <w:lvlText w:val="%3)"/>
      <w:lvlJc w:val="left"/>
      <w:pPr>
        <w:tabs>
          <w:tab w:val="num" w:pos="0"/>
        </w:tabs>
        <w:ind w:left="2160" w:hanging="480"/>
      </w:pPr>
      <w:rPr/>
    </w:lvl>
    <w:lvl w:ilvl="3">
      <w:start w:val="1"/>
      <w:numFmt w:val="decimal"/>
      <w:lvlText w:val="%4)"/>
      <w:lvlJc w:val="left"/>
      <w:pPr>
        <w:tabs>
          <w:tab w:val="num" w:pos="0"/>
        </w:tabs>
        <w:ind w:left="2880" w:hanging="480"/>
      </w:pPr>
      <w:rPr/>
    </w:lvl>
    <w:lvl w:ilvl="4">
      <w:start w:val="1"/>
      <w:numFmt w:val="decimal"/>
      <w:lvlText w:val="%5)"/>
      <w:lvlJc w:val="left"/>
      <w:pPr>
        <w:tabs>
          <w:tab w:val="num" w:pos="0"/>
        </w:tabs>
        <w:ind w:left="3600" w:hanging="480"/>
      </w:pPr>
      <w:rPr/>
    </w:lvl>
    <w:lvl w:ilvl="5">
      <w:start w:val="1"/>
      <w:numFmt w:val="decimal"/>
      <w:lvlText w:val="%6)"/>
      <w:lvlJc w:val="left"/>
      <w:pPr>
        <w:tabs>
          <w:tab w:val="num" w:pos="0"/>
        </w:tabs>
        <w:ind w:left="4320" w:hanging="480"/>
      </w:pPr>
      <w:rPr/>
    </w:lvl>
    <w:lvl w:ilvl="6">
      <w:start w:val="1"/>
      <w:numFmt w:val="decimal"/>
      <w:lvlText w:val="%7)"/>
      <w:lvlJc w:val="left"/>
      <w:pPr>
        <w:tabs>
          <w:tab w:val="num" w:pos="0"/>
        </w:tabs>
        <w:ind w:left="5040" w:hanging="480"/>
      </w:pPr>
      <w:rPr/>
    </w:lvl>
    <w:lvl w:ilvl="7">
      <w:start w:val="1"/>
      <w:numFmt w:val="decimal"/>
      <w:lvlText w:val="%8)"/>
      <w:lvlJc w:val="left"/>
      <w:pPr>
        <w:tabs>
          <w:tab w:val="num" w:pos="0"/>
        </w:tabs>
        <w:ind w:left="5760" w:hanging="480"/>
      </w:pPr>
      <w:rPr/>
    </w:lvl>
    <w:lvl w:ilvl="8">
      <w:start w:val="1"/>
      <w:numFmt w:val="decimal"/>
      <w:lvlText w:val="%9)"/>
      <w:lvlJc w:val="left"/>
      <w:pPr>
        <w:tabs>
          <w:tab w:val="num" w:pos="0"/>
        </w:tabs>
        <w:ind w:left="6480" w:hanging="480"/>
      </w:pPr>
      <w:rPr/>
    </w:lvl>
  </w:abstractNum>
  <w:abstractNum w:abstractNumId="3">
    <w:lvl w:ilvl="0">
      <w:start w:val="1"/>
      <w:numFmt w:val="decimal"/>
      <w:lvlText w:val="%1)"/>
      <w:lvlJc w:val="left"/>
      <w:pPr>
        <w:tabs>
          <w:tab w:val="num" w:pos="0"/>
        </w:tabs>
        <w:ind w:left="720" w:hanging="480"/>
      </w:pPr>
      <w:rPr/>
    </w:lvl>
    <w:lvl w:ilvl="1">
      <w:start w:val="1"/>
      <w:numFmt w:val="decimal"/>
      <w:lvlText w:val="%2)"/>
      <w:lvlJc w:val="left"/>
      <w:pPr>
        <w:tabs>
          <w:tab w:val="num" w:pos="0"/>
        </w:tabs>
        <w:ind w:left="1440" w:hanging="480"/>
      </w:pPr>
      <w:rPr/>
    </w:lvl>
    <w:lvl w:ilvl="2">
      <w:start w:val="1"/>
      <w:numFmt w:val="decimal"/>
      <w:lvlText w:val="%3)"/>
      <w:lvlJc w:val="left"/>
      <w:pPr>
        <w:tabs>
          <w:tab w:val="num" w:pos="0"/>
        </w:tabs>
        <w:ind w:left="2160" w:hanging="480"/>
      </w:pPr>
      <w:rPr/>
    </w:lvl>
    <w:lvl w:ilvl="3">
      <w:start w:val="1"/>
      <w:numFmt w:val="decimal"/>
      <w:lvlText w:val="%4)"/>
      <w:lvlJc w:val="left"/>
      <w:pPr>
        <w:tabs>
          <w:tab w:val="num" w:pos="0"/>
        </w:tabs>
        <w:ind w:left="2880" w:hanging="480"/>
      </w:pPr>
      <w:rPr/>
    </w:lvl>
    <w:lvl w:ilvl="4">
      <w:start w:val="1"/>
      <w:numFmt w:val="decimal"/>
      <w:lvlText w:val="%5)"/>
      <w:lvlJc w:val="left"/>
      <w:pPr>
        <w:tabs>
          <w:tab w:val="num" w:pos="0"/>
        </w:tabs>
        <w:ind w:left="3600" w:hanging="480"/>
      </w:pPr>
      <w:rPr/>
    </w:lvl>
    <w:lvl w:ilvl="5">
      <w:start w:val="1"/>
      <w:numFmt w:val="decimal"/>
      <w:lvlText w:val="%6)"/>
      <w:lvlJc w:val="left"/>
      <w:pPr>
        <w:tabs>
          <w:tab w:val="num" w:pos="0"/>
        </w:tabs>
        <w:ind w:left="4320" w:hanging="480"/>
      </w:pPr>
      <w:rPr/>
    </w:lvl>
    <w:lvl w:ilvl="6">
      <w:start w:val="1"/>
      <w:numFmt w:val="decimal"/>
      <w:lvlText w:val="%7)"/>
      <w:lvlJc w:val="left"/>
      <w:pPr>
        <w:tabs>
          <w:tab w:val="num" w:pos="0"/>
        </w:tabs>
        <w:ind w:left="5040" w:hanging="480"/>
      </w:pPr>
      <w:rPr/>
    </w:lvl>
    <w:lvl w:ilvl="7">
      <w:start w:val="1"/>
      <w:numFmt w:val="decimal"/>
      <w:lvlText w:val="%8)"/>
      <w:lvlJc w:val="left"/>
      <w:pPr>
        <w:tabs>
          <w:tab w:val="num" w:pos="0"/>
        </w:tabs>
        <w:ind w:left="5760" w:hanging="480"/>
      </w:pPr>
      <w:rPr/>
    </w:lvl>
    <w:lvl w:ilvl="8">
      <w:start w:val="1"/>
      <w:numFmt w:val="decimal"/>
      <w:lvlText w:val="%9)"/>
      <w:lvlJc w:val="left"/>
      <w:pPr>
        <w:tabs>
          <w:tab w:val="num" w:pos="0"/>
        </w:tabs>
        <w:ind w:left="6480" w:hanging="480"/>
      </w:pPr>
      <w:rPr/>
    </w:lvl>
  </w:abstractNum>
  <w:abstractNum w:abstractNumId="4">
    <w:lvl w:ilvl="0">
      <w:start w:val="1"/>
      <w:numFmt w:val="decimal"/>
      <w:lvlText w:val="%1)"/>
      <w:lvlJc w:val="left"/>
      <w:pPr>
        <w:tabs>
          <w:tab w:val="num" w:pos="0"/>
        </w:tabs>
        <w:ind w:left="720" w:hanging="480"/>
      </w:pPr>
      <w:rPr/>
    </w:lvl>
    <w:lvl w:ilvl="1">
      <w:start w:val="1"/>
      <w:numFmt w:val="decimal"/>
      <w:lvlText w:val="%2)"/>
      <w:lvlJc w:val="left"/>
      <w:pPr>
        <w:tabs>
          <w:tab w:val="num" w:pos="0"/>
        </w:tabs>
        <w:ind w:left="1440" w:hanging="480"/>
      </w:pPr>
      <w:rPr/>
    </w:lvl>
    <w:lvl w:ilvl="2">
      <w:start w:val="1"/>
      <w:numFmt w:val="decimal"/>
      <w:lvlText w:val="%3)"/>
      <w:lvlJc w:val="left"/>
      <w:pPr>
        <w:tabs>
          <w:tab w:val="num" w:pos="0"/>
        </w:tabs>
        <w:ind w:left="2160" w:hanging="480"/>
      </w:pPr>
      <w:rPr/>
    </w:lvl>
    <w:lvl w:ilvl="3">
      <w:start w:val="1"/>
      <w:numFmt w:val="decimal"/>
      <w:lvlText w:val="%4)"/>
      <w:lvlJc w:val="left"/>
      <w:pPr>
        <w:tabs>
          <w:tab w:val="num" w:pos="0"/>
        </w:tabs>
        <w:ind w:left="2880" w:hanging="480"/>
      </w:pPr>
      <w:rPr/>
    </w:lvl>
    <w:lvl w:ilvl="4">
      <w:start w:val="1"/>
      <w:numFmt w:val="decimal"/>
      <w:lvlText w:val="%5)"/>
      <w:lvlJc w:val="left"/>
      <w:pPr>
        <w:tabs>
          <w:tab w:val="num" w:pos="0"/>
        </w:tabs>
        <w:ind w:left="3600" w:hanging="480"/>
      </w:pPr>
      <w:rPr/>
    </w:lvl>
    <w:lvl w:ilvl="5">
      <w:start w:val="1"/>
      <w:numFmt w:val="decimal"/>
      <w:lvlText w:val="%6)"/>
      <w:lvlJc w:val="left"/>
      <w:pPr>
        <w:tabs>
          <w:tab w:val="num" w:pos="0"/>
        </w:tabs>
        <w:ind w:left="4320" w:hanging="480"/>
      </w:pPr>
      <w:rPr/>
    </w:lvl>
    <w:lvl w:ilvl="6">
      <w:start w:val="1"/>
      <w:numFmt w:val="decimal"/>
      <w:lvlText w:val="%7)"/>
      <w:lvlJc w:val="left"/>
      <w:pPr>
        <w:tabs>
          <w:tab w:val="num" w:pos="0"/>
        </w:tabs>
        <w:ind w:left="5040" w:hanging="480"/>
      </w:pPr>
      <w:rPr/>
    </w:lvl>
    <w:lvl w:ilvl="7">
      <w:start w:val="1"/>
      <w:numFmt w:val="decimal"/>
      <w:lvlText w:val="%8)"/>
      <w:lvlJc w:val="left"/>
      <w:pPr>
        <w:tabs>
          <w:tab w:val="num" w:pos="0"/>
        </w:tabs>
        <w:ind w:left="5760" w:hanging="480"/>
      </w:pPr>
      <w:rPr/>
    </w:lvl>
    <w:lvl w:ilvl="8">
      <w:start w:val="1"/>
      <w:numFmt w:val="decimal"/>
      <w:lvlText w:val="%9)"/>
      <w:lvlJc w:val="left"/>
      <w:pPr>
        <w:tabs>
          <w:tab w:val="num" w:pos="0"/>
        </w:tabs>
        <w:ind w:left="6480" w:hanging="480"/>
      </w:pPr>
      <w:rPr/>
    </w:lvl>
  </w:abstractNum>
  <w:abstractNum w:abstractNumId="5">
    <w:lvl w:ilvl="0">
      <w:start w:val="1"/>
      <w:numFmt w:val="decimal"/>
      <w:lvlText w:val="%1)"/>
      <w:lvlJc w:val="left"/>
      <w:pPr>
        <w:tabs>
          <w:tab w:val="num" w:pos="0"/>
        </w:tabs>
        <w:ind w:left="720" w:hanging="480"/>
      </w:pPr>
      <w:rPr/>
    </w:lvl>
    <w:lvl w:ilvl="1">
      <w:start w:val="1"/>
      <w:numFmt w:val="decimal"/>
      <w:lvlText w:val="%2)"/>
      <w:lvlJc w:val="left"/>
      <w:pPr>
        <w:tabs>
          <w:tab w:val="num" w:pos="0"/>
        </w:tabs>
        <w:ind w:left="1440" w:hanging="480"/>
      </w:pPr>
      <w:rPr/>
    </w:lvl>
    <w:lvl w:ilvl="2">
      <w:start w:val="1"/>
      <w:numFmt w:val="decimal"/>
      <w:lvlText w:val="%3)"/>
      <w:lvlJc w:val="left"/>
      <w:pPr>
        <w:tabs>
          <w:tab w:val="num" w:pos="0"/>
        </w:tabs>
        <w:ind w:left="2160" w:hanging="480"/>
      </w:pPr>
      <w:rPr/>
    </w:lvl>
    <w:lvl w:ilvl="3">
      <w:start w:val="1"/>
      <w:numFmt w:val="decimal"/>
      <w:lvlText w:val="%4)"/>
      <w:lvlJc w:val="left"/>
      <w:pPr>
        <w:tabs>
          <w:tab w:val="num" w:pos="0"/>
        </w:tabs>
        <w:ind w:left="2880" w:hanging="480"/>
      </w:pPr>
      <w:rPr/>
    </w:lvl>
    <w:lvl w:ilvl="4">
      <w:start w:val="1"/>
      <w:numFmt w:val="decimal"/>
      <w:lvlText w:val="%5)"/>
      <w:lvlJc w:val="left"/>
      <w:pPr>
        <w:tabs>
          <w:tab w:val="num" w:pos="0"/>
        </w:tabs>
        <w:ind w:left="3600" w:hanging="480"/>
      </w:pPr>
      <w:rPr/>
    </w:lvl>
    <w:lvl w:ilvl="5">
      <w:start w:val="1"/>
      <w:numFmt w:val="decimal"/>
      <w:lvlText w:val="%6)"/>
      <w:lvlJc w:val="left"/>
      <w:pPr>
        <w:tabs>
          <w:tab w:val="num" w:pos="0"/>
        </w:tabs>
        <w:ind w:left="4320" w:hanging="480"/>
      </w:pPr>
      <w:rPr/>
    </w:lvl>
    <w:lvl w:ilvl="6">
      <w:start w:val="1"/>
      <w:numFmt w:val="decimal"/>
      <w:lvlText w:val="%7)"/>
      <w:lvlJc w:val="left"/>
      <w:pPr>
        <w:tabs>
          <w:tab w:val="num" w:pos="0"/>
        </w:tabs>
        <w:ind w:left="5040" w:hanging="480"/>
      </w:pPr>
      <w:rPr/>
    </w:lvl>
    <w:lvl w:ilvl="7">
      <w:start w:val="1"/>
      <w:numFmt w:val="decimal"/>
      <w:lvlText w:val="%8)"/>
      <w:lvlJc w:val="left"/>
      <w:pPr>
        <w:tabs>
          <w:tab w:val="num" w:pos="0"/>
        </w:tabs>
        <w:ind w:left="5760" w:hanging="480"/>
      </w:pPr>
      <w:rPr/>
    </w:lvl>
    <w:lvl w:ilvl="8">
      <w:start w:val="1"/>
      <w:numFmt w:val="decimal"/>
      <w:lvlText w:val="%9)"/>
      <w:lvlJc w:val="left"/>
      <w:pPr>
        <w:tabs>
          <w:tab w:val="num" w:pos="0"/>
        </w:tabs>
        <w:ind w:left="6480" w:hanging="480"/>
      </w:pPr>
      <w:rPr/>
    </w:lvl>
  </w:abstractNum>
  <w:abstractNum w:abstractNumId="6">
    <w:lvl w:ilvl="0">
      <w:start w:val="1"/>
      <w:numFmt w:val="decimal"/>
      <w:lvlText w:val="%1)"/>
      <w:lvlJc w:val="left"/>
      <w:pPr>
        <w:tabs>
          <w:tab w:val="num" w:pos="0"/>
        </w:tabs>
        <w:ind w:left="720" w:hanging="480"/>
      </w:pPr>
      <w:rPr/>
    </w:lvl>
    <w:lvl w:ilvl="1">
      <w:start w:val="1"/>
      <w:numFmt w:val="decimal"/>
      <w:lvlText w:val="%2)"/>
      <w:lvlJc w:val="left"/>
      <w:pPr>
        <w:tabs>
          <w:tab w:val="num" w:pos="0"/>
        </w:tabs>
        <w:ind w:left="1440" w:hanging="480"/>
      </w:pPr>
      <w:rPr/>
    </w:lvl>
    <w:lvl w:ilvl="2">
      <w:start w:val="1"/>
      <w:numFmt w:val="decimal"/>
      <w:lvlText w:val="%3)"/>
      <w:lvlJc w:val="left"/>
      <w:pPr>
        <w:tabs>
          <w:tab w:val="num" w:pos="0"/>
        </w:tabs>
        <w:ind w:left="2160" w:hanging="480"/>
      </w:pPr>
      <w:rPr/>
    </w:lvl>
    <w:lvl w:ilvl="3">
      <w:start w:val="1"/>
      <w:numFmt w:val="decimal"/>
      <w:lvlText w:val="%4)"/>
      <w:lvlJc w:val="left"/>
      <w:pPr>
        <w:tabs>
          <w:tab w:val="num" w:pos="0"/>
        </w:tabs>
        <w:ind w:left="2880" w:hanging="480"/>
      </w:pPr>
      <w:rPr/>
    </w:lvl>
    <w:lvl w:ilvl="4">
      <w:start w:val="1"/>
      <w:numFmt w:val="decimal"/>
      <w:lvlText w:val="%5)"/>
      <w:lvlJc w:val="left"/>
      <w:pPr>
        <w:tabs>
          <w:tab w:val="num" w:pos="0"/>
        </w:tabs>
        <w:ind w:left="3600" w:hanging="480"/>
      </w:pPr>
      <w:rPr/>
    </w:lvl>
    <w:lvl w:ilvl="5">
      <w:start w:val="1"/>
      <w:numFmt w:val="decimal"/>
      <w:lvlText w:val="%6)"/>
      <w:lvlJc w:val="left"/>
      <w:pPr>
        <w:tabs>
          <w:tab w:val="num" w:pos="0"/>
        </w:tabs>
        <w:ind w:left="4320" w:hanging="480"/>
      </w:pPr>
      <w:rPr/>
    </w:lvl>
    <w:lvl w:ilvl="6">
      <w:start w:val="1"/>
      <w:numFmt w:val="decimal"/>
      <w:lvlText w:val="%7)"/>
      <w:lvlJc w:val="left"/>
      <w:pPr>
        <w:tabs>
          <w:tab w:val="num" w:pos="0"/>
        </w:tabs>
        <w:ind w:left="5040" w:hanging="480"/>
      </w:pPr>
      <w:rPr/>
    </w:lvl>
    <w:lvl w:ilvl="7">
      <w:start w:val="1"/>
      <w:numFmt w:val="decimal"/>
      <w:lvlText w:val="%8)"/>
      <w:lvlJc w:val="left"/>
      <w:pPr>
        <w:tabs>
          <w:tab w:val="num" w:pos="0"/>
        </w:tabs>
        <w:ind w:left="5760" w:hanging="480"/>
      </w:pPr>
      <w:rPr/>
    </w:lvl>
    <w:lvl w:ilvl="8">
      <w:start w:val="1"/>
      <w:numFmt w:val="decimal"/>
      <w:lvlText w:val="%9)"/>
      <w:lvlJc w:val="left"/>
      <w:pPr>
        <w:tabs>
          <w:tab w:val="num" w:pos="0"/>
        </w:tabs>
        <w:ind w:left="6480" w:hanging="480"/>
      </w:pPr>
      <w:rPr/>
    </w:lvl>
  </w:abstractNum>
  <w:abstractNum w:abstractNumId="7">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1"/>
    <w:lvlOverride w:ilvl="0">
      <w:startOverride w:val="1"/>
    </w:lvlOverride>
  </w:num>
  <w:num w:numId="9">
    <w:abstractNumId w:val="1"/>
  </w:num>
  <w:num w:numId="10">
    <w:abstractNumId w:val="1"/>
  </w:num>
  <w:num w:numId="11">
    <w:abstractNumId w:val="1"/>
  </w:num>
  <w:num w:numId="12">
    <w:abstractNumId w:val="1"/>
  </w:num>
  <w:num w:numId="13">
    <w:abstractNumId w:val="1"/>
  </w:num>
</w:numbering>
</file>

<file path=word/settings.xml><?xml version="1.0" encoding="utf-8"?>
<w:settings xmlns:w="http://schemas.openxmlformats.org/wordprocessingml/2006/main">
  <w:zoom w:percent="100"/>
  <w:trackRevisions/>
  <w:embedSystemFonts/>
  <w:defaultTabStop w:val="720"/>
  <w:autoHyphenation w:val="tru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mbria" w:hAnsi="Cambria" w:eastAsia="Cambria" w:cs="" w:asciiTheme="minorHAnsi" w:cstheme="minorBidi" w:eastAsiaTheme="minorHAnsi" w:hAnsiTheme="minorHAnsi"/>
        <w:sz w:val="24"/>
        <w:szCs w:val="24"/>
        <w:lang w:val="en-US" w:eastAsia="en-US" w:bidi="ar-SA"/>
      </w:rPr>
    </w:rPrDefault>
    <w:pPrDefault>
      <w:pPr>
        <w:suppressAutoHyphens w:val="true"/>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semiHidden="1" w:unhideWhenUsed="1"/>
    <w:lsdException w:name="Smart Hyperlink" w:uiPriority="99" w:semiHidden="1" w:unhideWhenUsed="1"/>
    <w:lsdException w:name="Hashtag" w:uiPriority="99" w:semiHidden="1" w:unhideWhenUsed="1"/>
    <w:lsdException w:name="Unresolved Mention" w:uiPriority="99" w:semiHidden="1" w:unhideWhenUsed="1"/>
    <w:lsdException w:name="Smart Link" w:uiPriority="99" w:semiHidden="1" w:unhideWhenUsed="1"/>
  </w:latentStyles>
  <w:style w:type="paragraph" w:styleId="Normal" w:default="1">
    <w:name w:val="Normal"/>
    <w:qFormat/>
    <w:pPr>
      <w:widowControl/>
      <w:suppressAutoHyphens w:val="true"/>
      <w:bidi w:val="0"/>
      <w:spacing w:before="0" w:after="200"/>
      <w:jc w:val="left"/>
    </w:pPr>
    <w:rPr>
      <w:rFonts w:ascii="Cambria" w:hAnsi="Cambria" w:eastAsia="Cambria" w:cs="" w:asciiTheme="minorHAnsi" w:cstheme="minorBidi" w:eastAsiaTheme="minorHAnsi" w:hAnsiTheme="minorHAnsi"/>
      <w:color w:val="auto"/>
      <w:kern w:val="0"/>
      <w:sz w:val="24"/>
      <w:szCs w:val="24"/>
      <w:lang w:val="en-US" w:eastAsia="en-US" w:bidi="ar-SA"/>
    </w:rPr>
  </w:style>
  <w:style w:type="paragraph" w:styleId="Heading1">
    <w:name w:val="Heading 1"/>
    <w:basedOn w:val="Normal"/>
    <w:next w:val="TextBody"/>
    <w:uiPriority w:val="9"/>
    <w:qFormat/>
    <w:pPr>
      <w:keepNext w:val="true"/>
      <w:keepLines/>
      <w:spacing w:before="480" w:after="0"/>
      <w:outlineLvl w:val="0"/>
    </w:pPr>
    <w:rPr>
      <w:rFonts w:ascii="Calibri" w:hAnsi="Calibri" w:eastAsia="" w:cs="" w:asciiTheme="majorHAnsi" w:cstheme="majorBidi" w:eastAsiaTheme="majorEastAsia" w:hAnsiTheme="majorHAnsi"/>
      <w:b/>
      <w:bCs/>
      <w:color w:val="4F81BD" w:themeColor="accent1"/>
      <w:sz w:val="32"/>
      <w:szCs w:val="32"/>
    </w:rPr>
  </w:style>
  <w:style w:type="paragraph" w:styleId="Heading2">
    <w:name w:val="Heading 2"/>
    <w:basedOn w:val="Normal"/>
    <w:next w:val="TextBody"/>
    <w:uiPriority w:val="9"/>
    <w:unhideWhenUsed/>
    <w:qFormat/>
    <w:pPr>
      <w:keepNext w:val="true"/>
      <w:keepLines/>
      <w:spacing w:before="200" w:after="0"/>
      <w:outlineLvl w:val="1"/>
    </w:pPr>
    <w:rPr>
      <w:rFonts w:ascii="Calibri" w:hAnsi="Calibri" w:eastAsia="" w:cs="" w:asciiTheme="majorHAnsi" w:cstheme="majorBidi" w:eastAsiaTheme="majorEastAsia" w:hAnsiTheme="majorHAnsi"/>
      <w:b/>
      <w:bCs/>
      <w:color w:val="4F81BD" w:themeColor="accent1"/>
      <w:sz w:val="28"/>
      <w:szCs w:val="28"/>
    </w:rPr>
  </w:style>
  <w:style w:type="paragraph" w:styleId="Heading3">
    <w:name w:val="Heading 3"/>
    <w:basedOn w:val="Normal"/>
    <w:next w:val="TextBody"/>
    <w:uiPriority w:val="9"/>
    <w:unhideWhenUsed/>
    <w:qFormat/>
    <w:pPr>
      <w:keepNext w:val="true"/>
      <w:keepLines/>
      <w:spacing w:before="200" w:after="0"/>
      <w:outlineLvl w:val="2"/>
    </w:pPr>
    <w:rPr>
      <w:rFonts w:ascii="Calibri" w:hAnsi="Calibri" w:eastAsia="" w:cs="" w:asciiTheme="majorHAnsi" w:cstheme="majorBidi" w:eastAsiaTheme="majorEastAsia" w:hAnsiTheme="majorHAnsi"/>
      <w:b/>
      <w:bCs/>
      <w:color w:val="4F81BD" w:themeColor="accent1"/>
    </w:rPr>
  </w:style>
  <w:style w:type="paragraph" w:styleId="Heading4">
    <w:name w:val="Heading 4"/>
    <w:basedOn w:val="Normal"/>
    <w:next w:val="TextBody"/>
    <w:uiPriority w:val="9"/>
    <w:unhideWhenUsed/>
    <w:qFormat/>
    <w:pPr>
      <w:keepNext w:val="true"/>
      <w:keepLines/>
      <w:spacing w:before="200" w:after="0"/>
      <w:outlineLvl w:val="3"/>
    </w:pPr>
    <w:rPr>
      <w:rFonts w:ascii="Calibri" w:hAnsi="Calibri" w:eastAsia="" w:cs="" w:asciiTheme="majorHAnsi" w:cstheme="majorBidi" w:eastAsiaTheme="majorEastAsia" w:hAnsiTheme="majorHAnsi"/>
      <w:bCs/>
      <w:i/>
      <w:color w:val="4F81BD" w:themeColor="accent1"/>
    </w:rPr>
  </w:style>
  <w:style w:type="paragraph" w:styleId="Heading5">
    <w:name w:val="Heading 5"/>
    <w:basedOn w:val="Normal"/>
    <w:next w:val="TextBody"/>
    <w:uiPriority w:val="9"/>
    <w:unhideWhenUsed/>
    <w:qFormat/>
    <w:pPr>
      <w:keepNext w:val="true"/>
      <w:keepLines/>
      <w:spacing w:before="200" w:after="0"/>
      <w:outlineLvl w:val="4"/>
    </w:pPr>
    <w:rPr>
      <w:rFonts w:ascii="Calibri" w:hAnsi="Calibri" w:eastAsia="" w:cs="" w:asciiTheme="majorHAnsi" w:cstheme="majorBidi" w:eastAsiaTheme="majorEastAsia" w:hAnsiTheme="majorHAnsi"/>
      <w:iCs/>
      <w:color w:val="4F81BD" w:themeColor="accent1"/>
    </w:rPr>
  </w:style>
  <w:style w:type="paragraph" w:styleId="Heading6">
    <w:name w:val="Heading 6"/>
    <w:basedOn w:val="Normal"/>
    <w:next w:val="TextBody"/>
    <w:uiPriority w:val="9"/>
    <w:unhideWhenUsed/>
    <w:qFormat/>
    <w:pPr>
      <w:keepNext w:val="true"/>
      <w:keepLines/>
      <w:spacing w:before="200" w:after="0"/>
      <w:outlineLvl w:val="5"/>
    </w:pPr>
    <w:rPr>
      <w:rFonts w:ascii="Calibri" w:hAnsi="Calibri" w:eastAsia="" w:cs="" w:asciiTheme="majorHAnsi" w:cstheme="majorBidi" w:eastAsiaTheme="majorEastAsia" w:hAnsiTheme="majorHAnsi"/>
      <w:color w:val="4F81BD" w:themeColor="accent1"/>
    </w:rPr>
  </w:style>
  <w:style w:type="paragraph" w:styleId="Heading7">
    <w:name w:val="Heading 7"/>
    <w:basedOn w:val="Normal"/>
    <w:next w:val="TextBody"/>
    <w:uiPriority w:val="9"/>
    <w:unhideWhenUsed/>
    <w:qFormat/>
    <w:pPr>
      <w:keepNext w:val="true"/>
      <w:keepLines/>
      <w:spacing w:before="200" w:after="0"/>
      <w:outlineLvl w:val="6"/>
    </w:pPr>
    <w:rPr>
      <w:rFonts w:ascii="Calibri" w:hAnsi="Calibri" w:eastAsia="" w:cs="" w:asciiTheme="majorHAnsi" w:cstheme="majorBidi" w:eastAsiaTheme="majorEastAsia" w:hAnsiTheme="majorHAnsi"/>
      <w:color w:val="4F81BD" w:themeColor="accent1"/>
    </w:rPr>
  </w:style>
  <w:style w:type="paragraph" w:styleId="Heading8">
    <w:name w:val="Heading 8"/>
    <w:basedOn w:val="Normal"/>
    <w:next w:val="TextBody"/>
    <w:uiPriority w:val="9"/>
    <w:unhideWhenUsed/>
    <w:qFormat/>
    <w:pPr>
      <w:keepNext w:val="true"/>
      <w:keepLines/>
      <w:spacing w:before="200" w:after="0"/>
      <w:outlineLvl w:val="7"/>
    </w:pPr>
    <w:rPr>
      <w:rFonts w:ascii="Calibri" w:hAnsi="Calibri" w:eastAsia="" w:cs="" w:asciiTheme="majorHAnsi" w:cstheme="majorBidi" w:eastAsiaTheme="majorEastAsia" w:hAnsiTheme="majorHAnsi"/>
      <w:color w:val="4F81BD" w:themeColor="accent1"/>
    </w:rPr>
  </w:style>
  <w:style w:type="paragraph" w:styleId="Heading9">
    <w:name w:val="Heading 9"/>
    <w:basedOn w:val="Normal"/>
    <w:next w:val="TextBody"/>
    <w:uiPriority w:val="9"/>
    <w:unhideWhenUsed/>
    <w:qFormat/>
    <w:pPr>
      <w:keepNext w:val="true"/>
      <w:keepLines/>
      <w:spacing w:before="200" w:after="0"/>
      <w:outlineLvl w:val="8"/>
    </w:pPr>
    <w:rPr>
      <w:rFonts w:ascii="Calibri" w:hAnsi="Calibri" w:eastAsia="" w:cs="" w:asciiTheme="majorHAnsi" w:cstheme="majorBidi" w:eastAsiaTheme="majorEastAsia" w:hAnsiTheme="majorHAnsi"/>
      <w:color w:val="4F81BD" w:themeColor="accent1"/>
    </w:rPr>
  </w:style>
  <w:style w:type="character" w:styleId="DefaultParagraphFont" w:default="1">
    <w:name w:val="Default Paragraph Font"/>
    <w:uiPriority w:val="1"/>
    <w:semiHidden/>
    <w:unhideWhenUsed/>
    <w:qFormat/>
    <w:rPr/>
  </w:style>
  <w:style w:type="character" w:styleId="CaptionChar" w:customStyle="1">
    <w:name w:val="Caption Char"/>
    <w:basedOn w:val="DefaultParagraphFont"/>
    <w:link w:val="Caption1"/>
    <w:qFormat/>
    <w:rPr/>
  </w:style>
  <w:style w:type="character" w:styleId="VerbatimChar" w:customStyle="1">
    <w:name w:val="Verbatim Char"/>
    <w:basedOn w:val="CaptionChar"/>
    <w:link w:val="SourceCode"/>
    <w:qFormat/>
    <w:rPr>
      <w:rFonts w:ascii="Consolas" w:hAnsi="Consolas"/>
      <w:sz w:val="22"/>
    </w:rPr>
  </w:style>
  <w:style w:type="character" w:styleId="SectionNumber" w:customStyle="1">
    <w:name w:val="Section Number"/>
    <w:basedOn w:val="CaptionChar"/>
    <w:qFormat/>
    <w:rPr/>
  </w:style>
  <w:style w:type="character" w:styleId="FootnoteCharacters" w:customStyle="1">
    <w:name w:val="Footnote Characters"/>
    <w:basedOn w:val="CaptionChar"/>
    <w:qFormat/>
    <w:rPr>
      <w:vertAlign w:val="superscript"/>
    </w:rPr>
  </w:style>
  <w:style w:type="character" w:styleId="FootnoteAnchor" w:customStyle="1">
    <w:name w:val="Footnote Anchor"/>
    <w:rPr>
      <w:vertAlign w:val="superscript"/>
    </w:rPr>
  </w:style>
  <w:style w:type="character" w:styleId="InternetLink">
    <w:name w:val="Hyperlink"/>
    <w:basedOn w:val="CaptionChar"/>
    <w:rPr>
      <w:color w:val="4F81BD" w:themeColor="accent1"/>
    </w:rPr>
  </w:style>
  <w:style w:type="character" w:styleId="KeywordTok" w:customStyle="1">
    <w:name w:val="KeywordTok"/>
    <w:basedOn w:val="VerbatimChar"/>
    <w:qFormat/>
    <w:rPr>
      <w:rFonts w:ascii="Consolas" w:hAnsi="Consolas"/>
      <w:b/>
      <w:color w:val="204A87"/>
      <w:sz w:val="22"/>
      <w:shd w:fill="F8F8F8" w:val="clear"/>
    </w:rPr>
  </w:style>
  <w:style w:type="character" w:styleId="DataTypeTok" w:customStyle="1">
    <w:name w:val="DataTypeTok"/>
    <w:basedOn w:val="VerbatimChar"/>
    <w:qFormat/>
    <w:rPr>
      <w:rFonts w:ascii="Consolas" w:hAnsi="Consolas"/>
      <w:color w:val="204A87"/>
      <w:sz w:val="22"/>
      <w:shd w:fill="F8F8F8" w:val="clear"/>
    </w:rPr>
  </w:style>
  <w:style w:type="character" w:styleId="DecValTok" w:customStyle="1">
    <w:name w:val="DecValTok"/>
    <w:basedOn w:val="VerbatimChar"/>
    <w:qFormat/>
    <w:rPr>
      <w:rFonts w:ascii="Consolas" w:hAnsi="Consolas"/>
      <w:color w:val="0000CF"/>
      <w:sz w:val="22"/>
      <w:shd w:fill="F8F8F8" w:val="clear"/>
    </w:rPr>
  </w:style>
  <w:style w:type="character" w:styleId="BaseNTok" w:customStyle="1">
    <w:name w:val="BaseNTok"/>
    <w:basedOn w:val="VerbatimChar"/>
    <w:qFormat/>
    <w:rPr>
      <w:rFonts w:ascii="Consolas" w:hAnsi="Consolas"/>
      <w:color w:val="0000CF"/>
      <w:sz w:val="22"/>
      <w:shd w:fill="F8F8F8" w:val="clear"/>
    </w:rPr>
  </w:style>
  <w:style w:type="character" w:styleId="FloatTok" w:customStyle="1">
    <w:name w:val="FloatTok"/>
    <w:basedOn w:val="VerbatimChar"/>
    <w:qFormat/>
    <w:rPr>
      <w:rFonts w:ascii="Consolas" w:hAnsi="Consolas"/>
      <w:color w:val="0000CF"/>
      <w:sz w:val="22"/>
      <w:shd w:fill="F8F8F8" w:val="clear"/>
    </w:rPr>
  </w:style>
  <w:style w:type="character" w:styleId="ConstantTok" w:customStyle="1">
    <w:name w:val="ConstantTok"/>
    <w:basedOn w:val="VerbatimChar"/>
    <w:qFormat/>
    <w:rPr>
      <w:rFonts w:ascii="Consolas" w:hAnsi="Consolas"/>
      <w:color w:val="000000"/>
      <w:sz w:val="22"/>
      <w:shd w:fill="F8F8F8" w:val="clear"/>
    </w:rPr>
  </w:style>
  <w:style w:type="character" w:styleId="CharTok" w:customStyle="1">
    <w:name w:val="CharTok"/>
    <w:basedOn w:val="VerbatimChar"/>
    <w:qFormat/>
    <w:rPr>
      <w:rFonts w:ascii="Consolas" w:hAnsi="Consolas"/>
      <w:color w:val="4E9A06"/>
      <w:sz w:val="22"/>
      <w:shd w:fill="F8F8F8" w:val="clear"/>
    </w:rPr>
  </w:style>
  <w:style w:type="character" w:styleId="SpecialCharTok" w:customStyle="1">
    <w:name w:val="SpecialCharTok"/>
    <w:basedOn w:val="VerbatimChar"/>
    <w:qFormat/>
    <w:rPr>
      <w:rFonts w:ascii="Consolas" w:hAnsi="Consolas"/>
      <w:color w:val="000000"/>
      <w:sz w:val="22"/>
      <w:shd w:fill="F8F8F8" w:val="clear"/>
    </w:rPr>
  </w:style>
  <w:style w:type="character" w:styleId="StringTok" w:customStyle="1">
    <w:name w:val="StringTok"/>
    <w:basedOn w:val="VerbatimChar"/>
    <w:qFormat/>
    <w:rPr>
      <w:rFonts w:ascii="Consolas" w:hAnsi="Consolas"/>
      <w:color w:val="4E9A06"/>
      <w:sz w:val="22"/>
      <w:shd w:fill="F8F8F8" w:val="clear"/>
    </w:rPr>
  </w:style>
  <w:style w:type="character" w:styleId="VerbatimStringTok" w:customStyle="1">
    <w:name w:val="VerbatimStringTok"/>
    <w:basedOn w:val="VerbatimChar"/>
    <w:qFormat/>
    <w:rPr>
      <w:rFonts w:ascii="Consolas" w:hAnsi="Consolas"/>
      <w:color w:val="4E9A06"/>
      <w:sz w:val="22"/>
      <w:shd w:fill="F8F8F8" w:val="clear"/>
    </w:rPr>
  </w:style>
  <w:style w:type="character" w:styleId="SpecialStringTok" w:customStyle="1">
    <w:name w:val="SpecialStringTok"/>
    <w:basedOn w:val="VerbatimChar"/>
    <w:qFormat/>
    <w:rPr>
      <w:rFonts w:ascii="Consolas" w:hAnsi="Consolas"/>
      <w:color w:val="4E9A06"/>
      <w:sz w:val="22"/>
      <w:shd w:fill="F8F8F8" w:val="clear"/>
    </w:rPr>
  </w:style>
  <w:style w:type="character" w:styleId="ImportTok" w:customStyle="1">
    <w:name w:val="ImportTok"/>
    <w:basedOn w:val="VerbatimChar"/>
    <w:qFormat/>
    <w:rPr>
      <w:rFonts w:ascii="Consolas" w:hAnsi="Consolas"/>
      <w:sz w:val="22"/>
      <w:shd w:fill="F8F8F8" w:val="clear"/>
    </w:rPr>
  </w:style>
  <w:style w:type="character" w:styleId="CommentTok" w:customStyle="1">
    <w:name w:val="CommentTok"/>
    <w:basedOn w:val="VerbatimChar"/>
    <w:qFormat/>
    <w:rPr>
      <w:rFonts w:ascii="Consolas" w:hAnsi="Consolas"/>
      <w:i/>
      <w:color w:val="8F5902"/>
      <w:sz w:val="22"/>
      <w:shd w:fill="F8F8F8" w:val="clear"/>
    </w:rPr>
  </w:style>
  <w:style w:type="character" w:styleId="DocumentationTok" w:customStyle="1">
    <w:name w:val="DocumentationTok"/>
    <w:basedOn w:val="VerbatimChar"/>
    <w:qFormat/>
    <w:rPr>
      <w:rFonts w:ascii="Consolas" w:hAnsi="Consolas"/>
      <w:b/>
      <w:i/>
      <w:color w:val="8F5902"/>
      <w:sz w:val="22"/>
      <w:shd w:fill="F8F8F8" w:val="clear"/>
    </w:rPr>
  </w:style>
  <w:style w:type="character" w:styleId="AnnotationTok" w:customStyle="1">
    <w:name w:val="AnnotationTok"/>
    <w:basedOn w:val="VerbatimChar"/>
    <w:qFormat/>
    <w:rPr>
      <w:rFonts w:ascii="Consolas" w:hAnsi="Consolas"/>
      <w:b/>
      <w:i/>
      <w:color w:val="8F5902"/>
      <w:sz w:val="22"/>
      <w:shd w:fill="F8F8F8" w:val="clear"/>
    </w:rPr>
  </w:style>
  <w:style w:type="character" w:styleId="CommentVarTok" w:customStyle="1">
    <w:name w:val="CommentVarTok"/>
    <w:basedOn w:val="VerbatimChar"/>
    <w:qFormat/>
    <w:rPr>
      <w:rFonts w:ascii="Consolas" w:hAnsi="Consolas"/>
      <w:b/>
      <w:i/>
      <w:color w:val="8F5902"/>
      <w:sz w:val="22"/>
      <w:shd w:fill="F8F8F8" w:val="clear"/>
    </w:rPr>
  </w:style>
  <w:style w:type="character" w:styleId="OtherTok" w:customStyle="1">
    <w:name w:val="OtherTok"/>
    <w:basedOn w:val="VerbatimChar"/>
    <w:qFormat/>
    <w:rPr>
      <w:rFonts w:ascii="Consolas" w:hAnsi="Consolas"/>
      <w:color w:val="8F5902"/>
      <w:sz w:val="22"/>
      <w:shd w:fill="F8F8F8" w:val="clear"/>
    </w:rPr>
  </w:style>
  <w:style w:type="character" w:styleId="FunctionTok" w:customStyle="1">
    <w:name w:val="FunctionTok"/>
    <w:basedOn w:val="VerbatimChar"/>
    <w:qFormat/>
    <w:rPr>
      <w:rFonts w:ascii="Consolas" w:hAnsi="Consolas"/>
      <w:color w:val="000000"/>
      <w:sz w:val="22"/>
      <w:shd w:fill="F8F8F8" w:val="clear"/>
    </w:rPr>
  </w:style>
  <w:style w:type="character" w:styleId="VariableTok" w:customStyle="1">
    <w:name w:val="VariableTok"/>
    <w:basedOn w:val="VerbatimChar"/>
    <w:qFormat/>
    <w:rPr>
      <w:rFonts w:ascii="Consolas" w:hAnsi="Consolas"/>
      <w:color w:val="000000"/>
      <w:sz w:val="22"/>
      <w:shd w:fill="F8F8F8" w:val="clear"/>
    </w:rPr>
  </w:style>
  <w:style w:type="character" w:styleId="ControlFlowTok" w:customStyle="1">
    <w:name w:val="ControlFlowTok"/>
    <w:basedOn w:val="VerbatimChar"/>
    <w:qFormat/>
    <w:rPr>
      <w:rFonts w:ascii="Consolas" w:hAnsi="Consolas"/>
      <w:b/>
      <w:color w:val="204A87"/>
      <w:sz w:val="22"/>
      <w:shd w:fill="F8F8F8" w:val="clear"/>
    </w:rPr>
  </w:style>
  <w:style w:type="character" w:styleId="OperatorTok" w:customStyle="1">
    <w:name w:val="OperatorTok"/>
    <w:basedOn w:val="VerbatimChar"/>
    <w:qFormat/>
    <w:rPr>
      <w:rFonts w:ascii="Consolas" w:hAnsi="Consolas"/>
      <w:b/>
      <w:color w:val="CE5C00"/>
      <w:sz w:val="22"/>
      <w:shd w:fill="F8F8F8" w:val="clear"/>
    </w:rPr>
  </w:style>
  <w:style w:type="character" w:styleId="BuiltInTok" w:customStyle="1">
    <w:name w:val="BuiltInTok"/>
    <w:basedOn w:val="VerbatimChar"/>
    <w:qFormat/>
    <w:rPr>
      <w:rFonts w:ascii="Consolas" w:hAnsi="Consolas"/>
      <w:sz w:val="22"/>
      <w:shd w:fill="F8F8F8" w:val="clear"/>
    </w:rPr>
  </w:style>
  <w:style w:type="character" w:styleId="ExtensionTok" w:customStyle="1">
    <w:name w:val="ExtensionTok"/>
    <w:basedOn w:val="VerbatimChar"/>
    <w:qFormat/>
    <w:rPr>
      <w:rFonts w:ascii="Consolas" w:hAnsi="Consolas"/>
      <w:sz w:val="22"/>
      <w:shd w:fill="F8F8F8" w:val="clear"/>
    </w:rPr>
  </w:style>
  <w:style w:type="character" w:styleId="PreprocessorTok" w:customStyle="1">
    <w:name w:val="PreprocessorTok"/>
    <w:basedOn w:val="VerbatimChar"/>
    <w:qFormat/>
    <w:rPr>
      <w:rFonts w:ascii="Consolas" w:hAnsi="Consolas"/>
      <w:i/>
      <w:color w:val="8F5902"/>
      <w:sz w:val="22"/>
      <w:shd w:fill="F8F8F8" w:val="clear"/>
    </w:rPr>
  </w:style>
  <w:style w:type="character" w:styleId="AttributeTok" w:customStyle="1">
    <w:name w:val="AttributeTok"/>
    <w:basedOn w:val="VerbatimChar"/>
    <w:qFormat/>
    <w:rPr>
      <w:rFonts w:ascii="Consolas" w:hAnsi="Consolas"/>
      <w:color w:val="C4A000"/>
      <w:sz w:val="22"/>
      <w:shd w:fill="F8F8F8" w:val="clear"/>
    </w:rPr>
  </w:style>
  <w:style w:type="character" w:styleId="RegionMarkerTok" w:customStyle="1">
    <w:name w:val="RegionMarkerTok"/>
    <w:basedOn w:val="VerbatimChar"/>
    <w:qFormat/>
    <w:rPr>
      <w:rFonts w:ascii="Consolas" w:hAnsi="Consolas"/>
      <w:sz w:val="22"/>
      <w:shd w:fill="F8F8F8" w:val="clear"/>
    </w:rPr>
  </w:style>
  <w:style w:type="character" w:styleId="InformationTok" w:customStyle="1">
    <w:name w:val="InformationTok"/>
    <w:basedOn w:val="VerbatimChar"/>
    <w:qFormat/>
    <w:rPr>
      <w:rFonts w:ascii="Consolas" w:hAnsi="Consolas"/>
      <w:b/>
      <w:i/>
      <w:color w:val="8F5902"/>
      <w:sz w:val="22"/>
      <w:shd w:fill="F8F8F8" w:val="clear"/>
    </w:rPr>
  </w:style>
  <w:style w:type="character" w:styleId="WarningTok" w:customStyle="1">
    <w:name w:val="WarningTok"/>
    <w:basedOn w:val="VerbatimChar"/>
    <w:qFormat/>
    <w:rPr>
      <w:rFonts w:ascii="Consolas" w:hAnsi="Consolas"/>
      <w:b/>
      <w:i/>
      <w:color w:val="8F5902"/>
      <w:sz w:val="22"/>
      <w:shd w:fill="F8F8F8" w:val="clear"/>
    </w:rPr>
  </w:style>
  <w:style w:type="character" w:styleId="AlertTok" w:customStyle="1">
    <w:name w:val="AlertTok"/>
    <w:basedOn w:val="VerbatimChar"/>
    <w:qFormat/>
    <w:rPr>
      <w:rFonts w:ascii="Consolas" w:hAnsi="Consolas"/>
      <w:color w:val="EF2929"/>
      <w:sz w:val="22"/>
      <w:shd w:fill="F8F8F8" w:val="clear"/>
    </w:rPr>
  </w:style>
  <w:style w:type="character" w:styleId="ErrorTok" w:customStyle="1">
    <w:name w:val="ErrorTok"/>
    <w:basedOn w:val="VerbatimChar"/>
    <w:qFormat/>
    <w:rPr>
      <w:rFonts w:ascii="Consolas" w:hAnsi="Consolas"/>
      <w:b/>
      <w:color w:val="A40000"/>
      <w:sz w:val="22"/>
      <w:shd w:fill="F8F8F8" w:val="clear"/>
    </w:rPr>
  </w:style>
  <w:style w:type="character" w:styleId="NormalTok" w:customStyle="1">
    <w:name w:val="NormalTok"/>
    <w:basedOn w:val="VerbatimChar"/>
    <w:qFormat/>
    <w:rPr>
      <w:rFonts w:ascii="Consolas" w:hAnsi="Consolas"/>
      <w:sz w:val="22"/>
      <w:shd w:fill="F8F8F8" w:val="clear"/>
    </w:rPr>
  </w:style>
  <w:style w:type="character" w:styleId="Annotationreference">
    <w:name w:val="annotation reference"/>
    <w:basedOn w:val="DefaultParagraphFont"/>
    <w:semiHidden/>
    <w:unhideWhenUsed/>
    <w:qFormat/>
    <w:rsid w:val="00555059"/>
    <w:rPr>
      <w:sz w:val="16"/>
      <w:szCs w:val="16"/>
    </w:rPr>
  </w:style>
  <w:style w:type="character" w:styleId="CommentTextChar" w:customStyle="1">
    <w:name w:val="Comment Text Char"/>
    <w:basedOn w:val="DefaultParagraphFont"/>
    <w:link w:val="Annotationtext"/>
    <w:semiHidden/>
    <w:qFormat/>
    <w:rsid w:val="00555059"/>
    <w:rPr>
      <w:sz w:val="20"/>
      <w:szCs w:val="20"/>
    </w:rPr>
  </w:style>
  <w:style w:type="character" w:styleId="CommentSubjectChar" w:customStyle="1">
    <w:name w:val="Comment Subject Char"/>
    <w:basedOn w:val="CommentTextChar"/>
    <w:link w:val="Annotationsubject"/>
    <w:semiHidden/>
    <w:qFormat/>
    <w:rsid w:val="00555059"/>
    <w:rPr>
      <w:b/>
      <w:bCs/>
      <w:sz w:val="20"/>
      <w:szCs w:val="20"/>
    </w:rPr>
  </w:style>
  <w:style w:type="character" w:styleId="LineNumbering">
    <w:name w:val="Line Numbering"/>
    <w:rPr/>
  </w:style>
  <w:style w:type="paragraph" w:styleId="Heading" w:customStyle="1">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qFormat/>
    <w:pPr>
      <w:spacing w:before="180" w:after="18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customStyle="1">
    <w:name w:val="Index"/>
    <w:basedOn w:val="Normal"/>
    <w:qFormat/>
    <w:pPr>
      <w:suppressLineNumbers/>
    </w:pPr>
    <w:rPr>
      <w:rFonts w:cs="Lohit Devanagari"/>
    </w:rPr>
  </w:style>
  <w:style w:type="paragraph" w:styleId="Caption1">
    <w:name w:val="caption"/>
    <w:basedOn w:val="Normal"/>
    <w:link w:val="CaptionChar"/>
    <w:qFormat/>
    <w:pPr>
      <w:spacing w:before="0" w:after="120"/>
    </w:pPr>
    <w:rPr>
      <w:i/>
    </w:rPr>
  </w:style>
  <w:style w:type="paragraph" w:styleId="FirstParagraph" w:customStyle="1">
    <w:name w:val="First Paragraph"/>
    <w:basedOn w:val="TextBody"/>
    <w:next w:val="TextBody"/>
    <w:qFormat/>
    <w:pPr/>
    <w:rPr/>
  </w:style>
  <w:style w:type="paragraph" w:styleId="Compact" w:customStyle="1">
    <w:name w:val="Compact"/>
    <w:basedOn w:val="TextBody"/>
    <w:qFormat/>
    <w:pPr>
      <w:spacing w:before="36" w:after="36"/>
    </w:pPr>
    <w:rPr/>
  </w:style>
  <w:style w:type="paragraph" w:styleId="Title">
    <w:name w:val="Title"/>
    <w:basedOn w:val="Normal"/>
    <w:next w:val="TextBody"/>
    <w:qFormat/>
    <w:pPr>
      <w:keepNext w:val="true"/>
      <w:keepLines/>
      <w:spacing w:before="480" w:after="240"/>
      <w:jc w:val="center"/>
    </w:pPr>
    <w:rPr>
      <w:rFonts w:ascii="Calibri" w:hAnsi="Calibri" w:eastAsia="" w:cs="" w:asciiTheme="majorHAnsi" w:cstheme="majorBidi" w:eastAsiaTheme="majorEastAsia" w:hAnsiTheme="majorHAnsi"/>
      <w:b/>
      <w:bCs/>
      <w:color w:val="345A8A" w:themeColor="accent1" w:themeShade="b5"/>
      <w:sz w:val="36"/>
      <w:szCs w:val="36"/>
    </w:rPr>
  </w:style>
  <w:style w:type="paragraph" w:styleId="Subtitle">
    <w:name w:val="Subtitle"/>
    <w:basedOn w:val="Title"/>
    <w:next w:val="TextBody"/>
    <w:qFormat/>
    <w:pPr>
      <w:spacing w:before="240" w:after="240"/>
    </w:pPr>
    <w:rPr>
      <w:sz w:val="30"/>
      <w:szCs w:val="30"/>
    </w:rPr>
  </w:style>
  <w:style w:type="paragraph" w:styleId="Author" w:customStyle="1">
    <w:name w:val="Author"/>
    <w:next w:val="TextBody"/>
    <w:qFormat/>
    <w:pPr>
      <w:keepNext w:val="true"/>
      <w:keepLines/>
      <w:widowControl/>
      <w:suppressAutoHyphens w:val="true"/>
      <w:bidi w:val="0"/>
      <w:spacing w:before="0" w:after="200"/>
      <w:jc w:val="center"/>
    </w:pPr>
    <w:rPr>
      <w:rFonts w:ascii="Cambria" w:hAnsi="Cambria" w:eastAsia="Cambria" w:cs="" w:asciiTheme="minorHAnsi" w:cstheme="minorBidi" w:eastAsiaTheme="minorHAnsi" w:hAnsiTheme="minorHAnsi"/>
      <w:color w:val="auto"/>
      <w:kern w:val="0"/>
      <w:sz w:val="24"/>
      <w:szCs w:val="24"/>
      <w:lang w:val="en-US" w:eastAsia="en-US" w:bidi="ar-SA"/>
    </w:rPr>
  </w:style>
  <w:style w:type="paragraph" w:styleId="Date">
    <w:name w:val="Date"/>
    <w:next w:val="TextBody"/>
    <w:qFormat/>
    <w:pPr>
      <w:keepNext w:val="true"/>
      <w:keepLines/>
      <w:widowControl/>
      <w:suppressAutoHyphens w:val="true"/>
      <w:bidi w:val="0"/>
      <w:spacing w:before="0" w:after="200"/>
      <w:jc w:val="center"/>
    </w:pPr>
    <w:rPr>
      <w:rFonts w:ascii="Cambria" w:hAnsi="Cambria" w:eastAsia="Cambria" w:cs="" w:asciiTheme="minorHAnsi" w:cstheme="minorBidi" w:eastAsiaTheme="minorHAnsi" w:hAnsiTheme="minorHAnsi"/>
      <w:color w:val="auto"/>
      <w:kern w:val="0"/>
      <w:sz w:val="24"/>
      <w:szCs w:val="24"/>
      <w:lang w:val="en-US" w:eastAsia="en-US" w:bidi="ar-SA"/>
    </w:rPr>
  </w:style>
  <w:style w:type="paragraph" w:styleId="Abstract" w:customStyle="1">
    <w:name w:val="Abstract"/>
    <w:basedOn w:val="Normal"/>
    <w:next w:val="TextBody"/>
    <w:qFormat/>
    <w:pPr>
      <w:keepNext w:val="true"/>
      <w:keepLines/>
      <w:spacing w:before="300" w:after="300"/>
    </w:pPr>
    <w:rPr>
      <w:sz w:val="20"/>
      <w:szCs w:val="20"/>
    </w:rPr>
  </w:style>
  <w:style w:type="paragraph" w:styleId="Bibliography">
    <w:name w:val="Bibliography"/>
    <w:basedOn w:val="Normal"/>
    <w:qFormat/>
    <w:pPr/>
    <w:rPr/>
  </w:style>
  <w:style w:type="paragraph" w:styleId="BlockText">
    <w:name w:val="Block Text"/>
    <w:basedOn w:val="TextBody"/>
    <w:next w:val="TextBody"/>
    <w:uiPriority w:val="9"/>
    <w:unhideWhenUsed/>
    <w:qFormat/>
    <w:pPr>
      <w:spacing w:before="100" w:after="100"/>
      <w:ind w:left="480" w:right="480" w:hanging="0"/>
    </w:pPr>
    <w:rPr/>
  </w:style>
  <w:style w:type="paragraph" w:styleId="Footnote">
    <w:name w:val="Footnote Text"/>
    <w:basedOn w:val="Normal"/>
    <w:uiPriority w:val="9"/>
    <w:unhideWhenUsed/>
    <w:qFormat/>
    <w:pPr/>
    <w:rPr/>
  </w:style>
  <w:style w:type="paragraph" w:styleId="DefinitionTerm" w:customStyle="1">
    <w:name w:val="Definition Term"/>
    <w:basedOn w:val="Normal"/>
    <w:next w:val="Definition"/>
    <w:qFormat/>
    <w:pPr>
      <w:keepNext w:val="true"/>
      <w:keepLines/>
      <w:spacing w:before="0" w:after="0"/>
    </w:pPr>
    <w:rPr>
      <w:b/>
    </w:rPr>
  </w:style>
  <w:style w:type="paragraph" w:styleId="Definition" w:customStyle="1">
    <w:name w:val="Definition"/>
    <w:basedOn w:val="Normal"/>
    <w:qFormat/>
    <w:pPr/>
    <w:rPr/>
  </w:style>
  <w:style w:type="paragraph" w:styleId="TableCaption" w:customStyle="1">
    <w:name w:val="Table Caption"/>
    <w:basedOn w:val="Caption1"/>
    <w:qFormat/>
    <w:pPr>
      <w:keepNext w:val="true"/>
    </w:pPr>
    <w:rPr/>
  </w:style>
  <w:style w:type="paragraph" w:styleId="ImageCaption" w:customStyle="1">
    <w:name w:val="Image Caption"/>
    <w:basedOn w:val="Caption1"/>
    <w:qFormat/>
    <w:pPr/>
    <w:rPr/>
  </w:style>
  <w:style w:type="paragraph" w:styleId="Figure" w:customStyle="1">
    <w:name w:val="Figure"/>
    <w:basedOn w:val="Normal"/>
    <w:qFormat/>
    <w:pPr/>
    <w:rPr/>
  </w:style>
  <w:style w:type="paragraph" w:styleId="CaptionedFigure" w:customStyle="1">
    <w:name w:val="Captioned Figure"/>
    <w:basedOn w:val="Figure"/>
    <w:qFormat/>
    <w:pPr>
      <w:keepNext w:val="true"/>
    </w:pPr>
    <w:rPr/>
  </w:style>
  <w:style w:type="paragraph" w:styleId="Indexheading">
    <w:name w:val="index heading"/>
    <w:basedOn w:val="Heading"/>
    <w:qFormat/>
    <w:pPr/>
    <w:rPr/>
  </w:style>
  <w:style w:type="paragraph" w:styleId="IndexHeading1">
    <w:name w:val="Index Heading"/>
    <w:basedOn w:val="Heading"/>
    <w:pPr/>
    <w:rPr/>
  </w:style>
  <w:style w:type="paragraph" w:styleId="ContentsHeading">
    <w:name w:val="TOC Heading"/>
    <w:basedOn w:val="Heading1"/>
    <w:next w:val="TextBody"/>
    <w:uiPriority w:val="39"/>
    <w:unhideWhenUsed/>
    <w:qFormat/>
    <w:pPr>
      <w:spacing w:lineRule="auto" w:line="259" w:before="240" w:after="0"/>
      <w:outlineLvl w:val="9"/>
    </w:pPr>
    <w:rPr>
      <w:b w:val="false"/>
      <w:bCs w:val="false"/>
      <w:color w:val="365F91" w:themeColor="accent1" w:themeShade="bf"/>
    </w:rPr>
  </w:style>
  <w:style w:type="paragraph" w:styleId="SourceCode" w:customStyle="1">
    <w:name w:val="Source Code"/>
    <w:basedOn w:val="Normal"/>
    <w:link w:val="VerbatimChar"/>
    <w:qFormat/>
    <w:pPr>
      <w:shd w:val="clear" w:color="auto" w:fill="F8F8F8"/>
    </w:pPr>
    <w:rPr/>
  </w:style>
  <w:style w:type="paragraph" w:styleId="Revision">
    <w:name w:val="Revision"/>
    <w:semiHidden/>
    <w:qFormat/>
    <w:rsid w:val="00555059"/>
    <w:pPr>
      <w:widowControl/>
      <w:suppressAutoHyphens w:val="false"/>
      <w:bidi w:val="0"/>
      <w:spacing w:before="0" w:after="0"/>
      <w:jc w:val="left"/>
    </w:pPr>
    <w:rPr>
      <w:rFonts w:ascii="Cambria" w:hAnsi="Cambria" w:eastAsia="Cambria" w:cs="" w:asciiTheme="minorHAnsi" w:cstheme="minorBidi" w:eastAsiaTheme="minorHAnsi" w:hAnsiTheme="minorHAnsi"/>
      <w:color w:val="auto"/>
      <w:kern w:val="0"/>
      <w:sz w:val="24"/>
      <w:szCs w:val="24"/>
      <w:lang w:val="en-US" w:eastAsia="en-US" w:bidi="ar-SA"/>
    </w:rPr>
  </w:style>
  <w:style w:type="paragraph" w:styleId="Annotationtext">
    <w:name w:val="annotation text"/>
    <w:basedOn w:val="Normal"/>
    <w:link w:val="CommentTextChar"/>
    <w:semiHidden/>
    <w:unhideWhenUsed/>
    <w:qFormat/>
    <w:rsid w:val="00555059"/>
    <w:pPr/>
    <w:rPr>
      <w:sz w:val="20"/>
      <w:szCs w:val="20"/>
    </w:rPr>
  </w:style>
  <w:style w:type="paragraph" w:styleId="Annotationsubject">
    <w:name w:val="annotation subject"/>
    <w:basedOn w:val="Annotationtext"/>
    <w:next w:val="Annotationtext"/>
    <w:link w:val="CommentSubjectChar"/>
    <w:semiHidden/>
    <w:unhideWhenUsed/>
    <w:qFormat/>
    <w:rsid w:val="00555059"/>
    <w:pPr/>
    <w:rPr>
      <w:b/>
      <w:bCs/>
    </w:rPr>
  </w:style>
  <w:style w:type="numbering" w:styleId="NoList" w:default="1">
    <w:name w:val="No List"/>
    <w:uiPriority w:val="99"/>
    <w:semiHidden/>
    <w:unhideWhenUsed/>
    <w:qFormat/>
  </w:style>
  <w:style w:type="table" w:default="1" w:styleId="TableNormal">
    <w:name w:val="Normal Table"/>
    <w:uiPriority w:val="99"/>
    <w:semiHidden/>
    <w:unhideWhenUsed/>
    <w:tblPr>
      <w:tblCellMar>
        <w:top w:w="0" w:type="dxa"/>
        <w:left w:w="108" w:type="dxa"/>
        <w:bottom w:w="0" w:type="dxa"/>
        <w:right w:w="108" w:type="dxa"/>
      </w:tblCellMar>
    </w:tblPr>
  </w:style>
  <w:style w:type="table" w:customStyle="1" w:styleId="Table">
    <w:name w:val="Table"/>
    <w:semiHidden/>
    <w:unhideWhenUsed/>
    <w:qFormat/>
    <w:tblPr>
      <w:tblCellMar>
        <w:top w:w="0" w:type="dxa"/>
        <w:left w:w="108" w:type="dxa"/>
        <w:bottom w:w="0" w:type="dxa"/>
        <w:right w:w="108" w:type="dxa"/>
      </w:tblCellMar>
    </w:tblPr>
    <w:tblStylePr w:type="firstRow">
      <w:tblPr/>
      <w:tcPr>
        <w:tcBorders>
          <w:bottom w:val="single" w:color="auto" w:sz="0" w:space="0"/>
        </w:tcBorders>
        <w:vAlign w:val="bottom"/>
      </w:tcPr>
    </w:tblStyle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hyperlink" Target="https://orcid.org/0000-0003-3517-9090" TargetMode="External"/><Relationship Id="rId8" Type="http://schemas.openxmlformats.org/officeDocument/2006/relationships/hyperlink" Target="https://orcid.org/0000-0001-9276-1111" TargetMode="External"/><Relationship Id="rId9" Type="http://schemas.openxmlformats.org/officeDocument/2006/relationships/hyperlink" Target="https://orcid.org/0000-0001-8546-0417" TargetMode="External"/><Relationship Id="rId10" Type="http://schemas.openxmlformats.org/officeDocument/2006/relationships/hyperlink" Target="https://orcid.org/0000-0002-7789-1417" TargetMode="External"/><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image" Target="media/image11.png"/><Relationship Id="rId17" Type="http://schemas.openxmlformats.org/officeDocument/2006/relationships/image" Target="media/image12.png"/><Relationship Id="rId18" Type="http://schemas.openxmlformats.org/officeDocument/2006/relationships/image" Target="media/image13.png"/><Relationship Id="rId19" Type="http://schemas.openxmlformats.org/officeDocument/2006/relationships/image" Target="media/image14.png"/><Relationship Id="rId20" Type="http://schemas.openxmlformats.org/officeDocument/2006/relationships/image" Target="media/image15.png"/><Relationship Id="rId21" Type="http://schemas.openxmlformats.org/officeDocument/2006/relationships/image" Target="media/image16.png"/><Relationship Id="rId22" Type="http://schemas.openxmlformats.org/officeDocument/2006/relationships/image" Target="media/image17.png"/><Relationship Id="rId23" Type="http://schemas.openxmlformats.org/officeDocument/2006/relationships/image" Target="media/image18.png"/><Relationship Id="rId24" Type="http://schemas.openxmlformats.org/officeDocument/2006/relationships/image" Target="media/image19.png"/><Relationship Id="rId25" Type="http://schemas.openxmlformats.org/officeDocument/2006/relationships/image" Target="media/image20.png"/><Relationship Id="rId26" Type="http://schemas.openxmlformats.org/officeDocument/2006/relationships/image" Target="media/image21.png"/><Relationship Id="rId27" Type="http://schemas.openxmlformats.org/officeDocument/2006/relationships/image" Target="media/image22.png"/><Relationship Id="rId28" Type="http://schemas.openxmlformats.org/officeDocument/2006/relationships/image" Target="media/image23.png"/><Relationship Id="rId29" Type="http://schemas.openxmlformats.org/officeDocument/2006/relationships/image" Target="media/image24.png"/><Relationship Id="rId30" Type="http://schemas.openxmlformats.org/officeDocument/2006/relationships/image" Target="media/image25.png"/><Relationship Id="rId31" Type="http://schemas.openxmlformats.org/officeDocument/2006/relationships/image" Target="media/image26.png"/><Relationship Id="rId32" Type="http://schemas.openxmlformats.org/officeDocument/2006/relationships/image" Target="media/image27.png"/><Relationship Id="rId33" Type="http://schemas.openxmlformats.org/officeDocument/2006/relationships/image" Target="media/image28.png"/><Relationship Id="rId34" Type="http://schemas.openxmlformats.org/officeDocument/2006/relationships/image" Target="media/image29.png"/><Relationship Id="rId35" Type="http://schemas.openxmlformats.org/officeDocument/2006/relationships/image" Target="media/image30.png"/><Relationship Id="rId36" Type="http://schemas.openxmlformats.org/officeDocument/2006/relationships/image" Target="media/image31.png"/><Relationship Id="rId37" Type="http://schemas.openxmlformats.org/officeDocument/2006/relationships/hyperlink" Target="https://onlinelibrary.wiley.com/doi/abs/10.1111/j.1600-0706.2009.17694.x" TargetMode="External"/><Relationship Id="rId38" Type="http://schemas.openxmlformats.org/officeDocument/2006/relationships/hyperlink" Target="https://doi.org/10.1093/sysbio/syab035" TargetMode="External"/><Relationship Id="rId39" Type="http://schemas.openxmlformats.org/officeDocument/2006/relationships/hyperlink" Target="https://doi.org/10.1002/ajb2.1703" TargetMode="External"/><Relationship Id="rId40" Type="http://schemas.openxmlformats.org/officeDocument/2006/relationships/hyperlink" Target="https://doi.org/10.1093/aobpla/plab062" TargetMode="External"/><Relationship Id="rId41" Type="http://schemas.openxmlformats.org/officeDocument/2006/relationships/hyperlink" Target="https://doi.org/10.1093/gigascience/giy013" TargetMode="External"/><Relationship Id="rId42" Type="http://schemas.openxmlformats.org/officeDocument/2006/relationships/hyperlink" Target="https://www.digitalrmbl.org/wp-content/uploads/2016/05/vascularplantlist_20071.pdf" TargetMode="External"/><Relationship Id="rId43" Type="http://schemas.openxmlformats.org/officeDocument/2006/relationships/hyperlink" Target="https://CRAN.R-project.org/package=fpc" TargetMode="External"/><Relationship Id="rId44" Type="http://schemas.openxmlformats.org/officeDocument/2006/relationships/hyperlink" Target="http://chao.stat.nthu.edu.tw/wordpress/software_download/" TargetMode="External"/><Relationship Id="rId45" Type="http://schemas.openxmlformats.org/officeDocument/2006/relationships/hyperlink" Target="https://CRAN.R-project.org/package=caret" TargetMode="External"/><Relationship Id="rId46" Type="http://schemas.openxmlformats.org/officeDocument/2006/relationships/hyperlink" Target="https://gbp-blm-egis.hub.arcgis.com/pages/aim" TargetMode="External"/><Relationship Id="rId47" Type="http://schemas.openxmlformats.org/officeDocument/2006/relationships/hyperlink" Target="https://www.pnas.org/doi/abs/10.1073/pnas.2115635118" TargetMode="External"/><Relationship Id="rId48" Type="http://schemas.openxmlformats.org/officeDocument/2006/relationships/hyperlink" Target="https://www.pnas.org/doi/abs/10.1073/pnas.2115642118" TargetMode="External"/><Relationship Id="rId49" Type="http://schemas.openxmlformats.org/officeDocument/2006/relationships/hyperlink" Target="https://CRAN.R-project.org/package=cluster" TargetMode="External"/><Relationship Id="rId50" Type="http://schemas.openxmlformats.org/officeDocument/2006/relationships/hyperlink" Target="https://CRAN.R-project.org/package=BIEN" TargetMode="External"/><Relationship Id="rId51" Type="http://schemas.openxmlformats.org/officeDocument/2006/relationships/hyperlink" Target="https://doi.org/10.1111/ecog.01881" TargetMode="External"/><Relationship Id="rId52" Type="http://schemas.openxmlformats.org/officeDocument/2006/relationships/hyperlink" Target="https://doi.org/10.1111/j.1600-0587.2013.00205.x" TargetMode="External"/><Relationship Id="rId53" Type="http://schemas.openxmlformats.org/officeDocument/2006/relationships/hyperlink" Target="https://www.gbif.org/occurrence/download/0206948-200613084148143" TargetMode="External"/><Relationship Id="rId54" Type="http://schemas.openxmlformats.org/officeDocument/2006/relationships/hyperlink" Target="https://CRAN.R-project.org/package=vegan" TargetMode="External"/><Relationship Id="rId55" Type="http://schemas.openxmlformats.org/officeDocument/2006/relationships/hyperlink" Target="https://doi.org/10.5281/zenodo.6377950" TargetMode="External"/><Relationship Id="rId56" Type="http://schemas.openxmlformats.org/officeDocument/2006/relationships/hyperlink" Target="https://doi.org/10.1080/00218839.1982.11100549" TargetMode="External"/><Relationship Id="rId57" Type="http://schemas.openxmlformats.org/officeDocument/2006/relationships/hyperlink" Target="https://onlinelibrary.wiley.com/doi/abs/10.1111/oik.05262" TargetMode="External"/><Relationship Id="rId58" Type="http://schemas.openxmlformats.org/officeDocument/2006/relationships/comments" Target="comments.xml"/><Relationship Id="rId59" Type="http://schemas.microsoft.com/office/2011/relationships/commentsExtended" Target="commentsExtended.xml"/><Relationship Id="rId60" Type="http://schemas.openxmlformats.org/officeDocument/2006/relationships/numbering" Target="numbering.xml"/><Relationship Id="rId61" Type="http://schemas.openxmlformats.org/officeDocument/2006/relationships/fontTable" Target="fontTable.xml"/><Relationship Id="rId62" Type="http://schemas.openxmlformats.org/officeDocument/2006/relationships/settings" Target="settings.xml"/><Relationship Id="rId63"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523</TotalTime>
  <Application>LibreOffice/7.3.7.2$Linux_X86_64 LibreOffice_project/30$Build-2</Application>
  <AppVersion>15.0000</AppVersion>
  <Pages>67</Pages>
  <Words>15209</Words>
  <Characters>84882</Characters>
  <CharactersWithSpaces>99592</CharactersWithSpaces>
  <Paragraphs>439</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2023-02-26T03:20:00Z</dcterms:created>
  <dc:creator>Jane Ogilvie</dc:creator>
  <dc:description/>
  <dc:language>en-US</dc:language>
  <cp:lastModifiedBy/>
  <dcterms:modified xsi:type="dcterms:W3CDTF">2023-03-24T17:44:31Z</dcterms:modified>
  <cp:revision>14</cp:revision>
  <dc:subject/>
  <dc:title>Metagenomic Barcoding of Pollen Loads Offers Insights on the Foraging Patterns of Queen Bumble Bees</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DNA Barcoding has been successful for the rapid analysis of ecological assemblages. Although barcoding in the plant kingdom barcoding has been more difficult than others, and hence may begin to lag behind other kingdoms.Here we test the utilization of Angiosperms 353 probes to barcode plant species found in pollen loads collected from Queen Bumble Bees.To verify the accuracy for this barcoding system we compared the data to museum species, observation studies, and species distribution modelling to identify likely candidate species.By utilizing Species distribution modelling we allow users to create a regionally appropriate sequence databases which may use increase the alignment algorithms minimizing need for large computational power, and run time.We show that the Angiosperms 353 probes, which are currently being used in the largest ever plant systematic endeavor, offers significant promise to metagenomic approaches.Understanding plants in ecological contexts and understandings of their synecology.</vt:lpwstr>
  </property>
  <property fmtid="{D5CDD505-2E9C-101B-9397-08002B2CF9AE}" pid="3" name="always_allow_html">
    <vt:lpwstr>True</vt:lpwstr>
  </property>
  <property fmtid="{D5CDD505-2E9C-101B-9397-08002B2CF9AE}" pid="4" name="bibliography">
    <vt:lpwstr>../citations/citations.bib</vt:lpwstr>
  </property>
  <property fmtid="{D5CDD505-2E9C-101B-9397-08002B2CF9AE}" pid="5" name="csl">
    <vt:lpwstr>../citations/methods-in-ecology-and-evolution.csl</vt:lpwstr>
  </property>
  <property fmtid="{D5CDD505-2E9C-101B-9397-08002B2CF9AE}" pid="6" name="fig_caption">
    <vt:lpwstr>True</vt:lpwstr>
  </property>
  <property fmtid="{D5CDD505-2E9C-101B-9397-08002B2CF9AE}" pid="7" name="header-includes">
    <vt:lpwstr/>
  </property>
  <property fmtid="{D5CDD505-2E9C-101B-9397-08002B2CF9AE}" pid="8" name="link-citations">
    <vt:lpwstr>True</vt:lpwstr>
  </property>
  <property fmtid="{D5CDD505-2E9C-101B-9397-08002B2CF9AE}" pid="9" name="output">
    <vt:lpwstr/>
  </property>
</Properties>
</file>